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3" w:rsidRPr="00BA4503" w:rsidRDefault="00BA4503" w:rsidP="00846CA2">
      <w:pPr>
        <w:pStyle w:val="Heading1"/>
      </w:pPr>
      <w:r w:rsidRPr="00BA4503">
        <w:t>Par prasību izpildi, kas izriet no Finanšu instrumentu tirgu regulas (</w:t>
      </w:r>
      <w:proofErr w:type="spellStart"/>
      <w:r w:rsidRPr="00BA4503">
        <w:t>MiFIR</w:t>
      </w:r>
      <w:proofErr w:type="spellEnd"/>
      <w:r w:rsidRPr="00BA4503">
        <w:t xml:space="preserve">) </w:t>
      </w:r>
    </w:p>
    <w:p w:rsidR="00846CA2" w:rsidRDefault="00846CA2" w:rsidP="00BA4503"/>
    <w:p w:rsidR="00B75126" w:rsidRPr="00866B79" w:rsidRDefault="00B75126" w:rsidP="00BA4503"/>
    <w:p w:rsidR="002222D3" w:rsidRPr="00371C99" w:rsidRDefault="00B864B5" w:rsidP="00BA4503">
      <w:pPr>
        <w:rPr>
          <w:szCs w:val="24"/>
        </w:rPr>
      </w:pPr>
      <w:r w:rsidRPr="00371C99">
        <w:t xml:space="preserve">Finanšu un kapitāla tirgus komisija (turpmāk – </w:t>
      </w:r>
      <w:r w:rsidR="00C404AD" w:rsidRPr="00371C99">
        <w:t>FKTK</w:t>
      </w:r>
      <w:r w:rsidRPr="00371C99">
        <w:t>)</w:t>
      </w:r>
      <w:r w:rsidR="000F3CC1" w:rsidRPr="00371C99">
        <w:t xml:space="preserve"> </w:t>
      </w:r>
      <w:r w:rsidR="00272442" w:rsidRPr="00371C99">
        <w:rPr>
          <w:szCs w:val="24"/>
        </w:rPr>
        <w:t>vērš uzmanību, ka</w:t>
      </w:r>
      <w:r w:rsidR="00FB65FA" w:rsidRPr="00371C99">
        <w:rPr>
          <w:szCs w:val="24"/>
        </w:rPr>
        <w:t xml:space="preserve"> </w:t>
      </w:r>
      <w:r w:rsidR="00F37565">
        <w:rPr>
          <w:szCs w:val="24"/>
        </w:rPr>
        <w:t>tālāk</w:t>
      </w:r>
      <w:r w:rsidR="00F37565" w:rsidRPr="00371C99">
        <w:rPr>
          <w:szCs w:val="24"/>
        </w:rPr>
        <w:t xml:space="preserve"> </w:t>
      </w:r>
      <w:r w:rsidR="00F37565">
        <w:rPr>
          <w:szCs w:val="24"/>
        </w:rPr>
        <w:t>norādītie</w:t>
      </w:r>
      <w:r w:rsidR="00F37565" w:rsidRPr="00371C99">
        <w:rPr>
          <w:szCs w:val="24"/>
        </w:rPr>
        <w:t xml:space="preserve"> </w:t>
      </w:r>
      <w:r w:rsidR="00FB65FA" w:rsidRPr="00371C99">
        <w:rPr>
          <w:szCs w:val="24"/>
        </w:rPr>
        <w:t xml:space="preserve">Eiropas Savienības tiesību akti ir tieši piemērojami un neparedz </w:t>
      </w:r>
      <w:r w:rsidR="003B2EB0" w:rsidRPr="00371C99">
        <w:rPr>
          <w:szCs w:val="24"/>
        </w:rPr>
        <w:t xml:space="preserve">FKTK </w:t>
      </w:r>
      <w:r w:rsidR="00FB65FA" w:rsidRPr="00371C99">
        <w:rPr>
          <w:szCs w:val="24"/>
        </w:rPr>
        <w:t>tiesības sniegt oficiālu tiesību normu skaidrojumu</w:t>
      </w:r>
      <w:r w:rsidR="002222D3" w:rsidRPr="00371C99">
        <w:rPr>
          <w:szCs w:val="24"/>
        </w:rPr>
        <w:t>:</w:t>
      </w:r>
    </w:p>
    <w:p w:rsidR="002222D3" w:rsidRPr="00371C99" w:rsidRDefault="00DB0970" w:rsidP="002222D3">
      <w:pPr>
        <w:pStyle w:val="Teksts1"/>
        <w:numPr>
          <w:ilvl w:val="0"/>
          <w:numId w:val="24"/>
        </w:numPr>
        <w:spacing w:after="0"/>
        <w:rPr>
          <w:szCs w:val="24"/>
        </w:rPr>
      </w:pPr>
      <w:r w:rsidRPr="00371C99">
        <w:rPr>
          <w:szCs w:val="24"/>
        </w:rPr>
        <w:t>Eiropas Parlamenta un Padomes Direktīv</w:t>
      </w:r>
      <w:r w:rsidR="002B7B49">
        <w:rPr>
          <w:szCs w:val="24"/>
        </w:rPr>
        <w:t>a</w:t>
      </w:r>
      <w:r w:rsidRPr="00371C99">
        <w:rPr>
          <w:szCs w:val="24"/>
        </w:rPr>
        <w:t xml:space="preserve"> 2014/65/ES </w:t>
      </w:r>
      <w:r w:rsidR="00D22972" w:rsidRPr="00371C99">
        <w:rPr>
          <w:szCs w:val="24"/>
        </w:rPr>
        <w:t xml:space="preserve">(turpmāk – </w:t>
      </w:r>
      <w:proofErr w:type="spellStart"/>
      <w:r w:rsidR="00D22972" w:rsidRPr="00371C99">
        <w:rPr>
          <w:szCs w:val="24"/>
        </w:rPr>
        <w:t>MiFID</w:t>
      </w:r>
      <w:proofErr w:type="spellEnd"/>
      <w:r w:rsidR="00D22972" w:rsidRPr="00371C99">
        <w:rPr>
          <w:szCs w:val="24"/>
        </w:rPr>
        <w:t xml:space="preserve"> II)</w:t>
      </w:r>
      <w:r w:rsidR="002B7B49">
        <w:rPr>
          <w:szCs w:val="24"/>
        </w:rPr>
        <w:t xml:space="preserve"> par finanšu instrumentu tirgiem</w:t>
      </w:r>
      <w:r w:rsidR="00A737E5" w:rsidRPr="00371C99">
        <w:rPr>
          <w:szCs w:val="24"/>
        </w:rPr>
        <w:t xml:space="preserve">, </w:t>
      </w:r>
    </w:p>
    <w:p w:rsidR="00C224CB" w:rsidRDefault="00DB0970" w:rsidP="00371C99">
      <w:pPr>
        <w:pStyle w:val="Teksts1"/>
        <w:numPr>
          <w:ilvl w:val="0"/>
          <w:numId w:val="24"/>
        </w:numPr>
        <w:spacing w:after="0"/>
        <w:rPr>
          <w:szCs w:val="24"/>
        </w:rPr>
      </w:pPr>
      <w:r w:rsidRPr="00371C99">
        <w:rPr>
          <w:szCs w:val="24"/>
        </w:rPr>
        <w:t xml:space="preserve">Eiropas Parlamenta un Padomes </w:t>
      </w:r>
      <w:r w:rsidR="00F37565">
        <w:rPr>
          <w:szCs w:val="24"/>
        </w:rPr>
        <w:t>R</w:t>
      </w:r>
      <w:r w:rsidR="003B2EB0" w:rsidRPr="00371C99">
        <w:rPr>
          <w:szCs w:val="24"/>
        </w:rPr>
        <w:t xml:space="preserve">egula </w:t>
      </w:r>
      <w:r w:rsidR="00C404AD" w:rsidRPr="00371C99">
        <w:rPr>
          <w:szCs w:val="24"/>
        </w:rPr>
        <w:t>(ES)</w:t>
      </w:r>
      <w:r w:rsidRPr="00371C99">
        <w:rPr>
          <w:szCs w:val="24"/>
        </w:rPr>
        <w:t xml:space="preserve"> Nr. 600/2014 par finanšu instrumentu tirgiem un ar ko groza Regulu</w:t>
      </w:r>
      <w:r w:rsidR="00C404AD" w:rsidRPr="00371C99">
        <w:rPr>
          <w:szCs w:val="24"/>
        </w:rPr>
        <w:t xml:space="preserve"> (ES)</w:t>
      </w:r>
      <w:r w:rsidRPr="00371C99">
        <w:rPr>
          <w:szCs w:val="24"/>
        </w:rPr>
        <w:t xml:space="preserve"> Nr. 648/2012 (turpmāk – </w:t>
      </w:r>
      <w:proofErr w:type="spellStart"/>
      <w:r w:rsidRPr="00371C99">
        <w:rPr>
          <w:szCs w:val="24"/>
        </w:rPr>
        <w:t>MiFIR</w:t>
      </w:r>
      <w:proofErr w:type="spellEnd"/>
      <w:r w:rsidR="00A737E5" w:rsidRPr="00371C99">
        <w:rPr>
          <w:szCs w:val="24"/>
        </w:rPr>
        <w:t xml:space="preserve"> regula</w:t>
      </w:r>
      <w:r w:rsidR="00371C99" w:rsidRPr="00371C99">
        <w:rPr>
          <w:szCs w:val="24"/>
        </w:rPr>
        <w:t>)</w:t>
      </w:r>
      <w:r w:rsidR="00781642">
        <w:rPr>
          <w:szCs w:val="24"/>
        </w:rPr>
        <w:t>,</w:t>
      </w:r>
    </w:p>
    <w:p w:rsidR="00064003" w:rsidRDefault="00064003" w:rsidP="00064003">
      <w:pPr>
        <w:pStyle w:val="Teksts1"/>
        <w:spacing w:after="0"/>
        <w:ind w:left="360"/>
        <w:rPr>
          <w:szCs w:val="24"/>
        </w:rPr>
      </w:pPr>
    </w:p>
    <w:p w:rsidR="00BA4503" w:rsidRPr="00026916" w:rsidRDefault="00F37565" w:rsidP="00266186">
      <w:pPr>
        <w:pStyle w:val="Teksts1"/>
        <w:rPr>
          <w:szCs w:val="24"/>
        </w:rPr>
      </w:pPr>
      <w:r>
        <w:rPr>
          <w:szCs w:val="24"/>
        </w:rPr>
        <w:t>Lai konsekventi piemērotu m</w:t>
      </w:r>
      <w:r w:rsidR="00266186">
        <w:rPr>
          <w:szCs w:val="24"/>
        </w:rPr>
        <w:t>inēto</w:t>
      </w:r>
      <w:r>
        <w:rPr>
          <w:szCs w:val="24"/>
        </w:rPr>
        <w:t>s</w:t>
      </w:r>
      <w:r w:rsidR="00266186">
        <w:rPr>
          <w:szCs w:val="24"/>
        </w:rPr>
        <w:t xml:space="preserve"> tiesību aktu</w:t>
      </w:r>
      <w:r>
        <w:rPr>
          <w:szCs w:val="24"/>
        </w:rPr>
        <w:t>s</w:t>
      </w:r>
      <w:r w:rsidR="00266186">
        <w:rPr>
          <w:szCs w:val="24"/>
        </w:rPr>
        <w:t xml:space="preserve"> Latvijas finanšu sektor</w:t>
      </w:r>
      <w:r w:rsidR="00852831">
        <w:rPr>
          <w:szCs w:val="24"/>
        </w:rPr>
        <w:t>am</w:t>
      </w:r>
      <w:r w:rsidR="00266186">
        <w:rPr>
          <w:szCs w:val="24"/>
        </w:rPr>
        <w:t xml:space="preserve">, Komisija </w:t>
      </w:r>
      <w:r w:rsidR="00D961E7">
        <w:rPr>
          <w:szCs w:val="24"/>
        </w:rPr>
        <w:t>pauž savu viedokli</w:t>
      </w:r>
      <w:r w:rsidR="00EC57F8">
        <w:rPr>
          <w:szCs w:val="24"/>
        </w:rPr>
        <w:t>, atbildot uz</w:t>
      </w:r>
      <w:r w:rsidR="00D961E7">
        <w:rPr>
          <w:szCs w:val="24"/>
        </w:rPr>
        <w:t xml:space="preserve"> </w:t>
      </w:r>
      <w:r w:rsidR="00D961E7" w:rsidRPr="004E65A0">
        <w:rPr>
          <w:szCs w:val="24"/>
        </w:rPr>
        <w:t>finanšu tirgus dalībniek</w:t>
      </w:r>
      <w:r w:rsidR="00EC57F8">
        <w:rPr>
          <w:szCs w:val="24"/>
        </w:rPr>
        <w:t>u uzdotajiem</w:t>
      </w:r>
      <w:r w:rsidR="00D961E7" w:rsidRPr="004E65A0">
        <w:rPr>
          <w:szCs w:val="24"/>
        </w:rPr>
        <w:t xml:space="preserve"> jautājumiem.</w:t>
      </w:r>
    </w:p>
    <w:p w:rsidR="00C9634E" w:rsidRPr="00384873" w:rsidRDefault="00C9634E" w:rsidP="00C9634E">
      <w:pPr>
        <w:pStyle w:val="Heading1"/>
        <w:rPr>
          <w:b w:val="0"/>
        </w:rPr>
      </w:pPr>
      <w:r w:rsidRPr="00C9634E">
        <w:t>Sist</w:t>
      </w:r>
      <w:r w:rsidR="00F37565">
        <w:t>e</w:t>
      </w:r>
      <w:r w:rsidRPr="00C9634E">
        <w:t>m</w:t>
      </w:r>
      <w:r w:rsidR="00F37565">
        <w:t>ā</w:t>
      </w:r>
      <w:r w:rsidRPr="00C9634E">
        <w:t xml:space="preserve">tisks </w:t>
      </w:r>
      <w:proofErr w:type="spellStart"/>
      <w:r w:rsidRPr="00C9634E">
        <w:t>internalizētājs</w:t>
      </w:r>
      <w:proofErr w:type="spellEnd"/>
      <w:r w:rsidR="00384873">
        <w:t xml:space="preserve"> </w:t>
      </w:r>
      <w:r w:rsidRPr="00384873">
        <w:rPr>
          <w:b w:val="0"/>
        </w:rPr>
        <w:t>(</w:t>
      </w:r>
      <w:r w:rsidR="00384873" w:rsidRPr="00384873">
        <w:rPr>
          <w:b w:val="0"/>
          <w:szCs w:val="24"/>
        </w:rPr>
        <w:t xml:space="preserve">turpmāk – </w:t>
      </w:r>
      <w:r w:rsidRPr="00384873">
        <w:rPr>
          <w:b w:val="0"/>
        </w:rPr>
        <w:t>SI)</w:t>
      </w:r>
    </w:p>
    <w:p w:rsidR="00C9634E" w:rsidRPr="00BA4503" w:rsidRDefault="00C9634E" w:rsidP="00C9634E">
      <w:pPr>
        <w:pStyle w:val="Heading1"/>
      </w:pPr>
    </w:p>
    <w:p w:rsidR="00F6130C" w:rsidRPr="009C46A3" w:rsidRDefault="00F6130C" w:rsidP="00F6130C">
      <w:pPr>
        <w:pStyle w:val="Teksts1"/>
        <w:spacing w:after="0"/>
        <w:rPr>
          <w:i/>
          <w:color w:val="000000" w:themeColor="text1"/>
          <w:szCs w:val="24"/>
        </w:rPr>
      </w:pPr>
      <w:r w:rsidRPr="009C46A3">
        <w:rPr>
          <w:b/>
          <w:color w:val="000000" w:themeColor="text1"/>
          <w:szCs w:val="24"/>
        </w:rPr>
        <w:t xml:space="preserve">1. </w:t>
      </w:r>
      <w:r w:rsidR="00F37565">
        <w:rPr>
          <w:b/>
          <w:color w:val="000000" w:themeColor="text1"/>
          <w:szCs w:val="24"/>
          <w:u w:val="single"/>
        </w:rPr>
        <w:t>j</w:t>
      </w:r>
      <w:r w:rsidRPr="009C46A3">
        <w:rPr>
          <w:b/>
          <w:color w:val="000000" w:themeColor="text1"/>
          <w:szCs w:val="24"/>
          <w:u w:val="single"/>
        </w:rPr>
        <w:t>autājums:</w:t>
      </w:r>
      <w:r w:rsidRPr="009C46A3">
        <w:rPr>
          <w:color w:val="000000" w:themeColor="text1"/>
          <w:szCs w:val="24"/>
        </w:rPr>
        <w:t xml:space="preserve"> </w:t>
      </w:r>
      <w:r w:rsidR="00C9634E" w:rsidRPr="009C46A3">
        <w:rPr>
          <w:b/>
          <w:color w:val="000000" w:themeColor="text1"/>
          <w:szCs w:val="24"/>
        </w:rPr>
        <w:t xml:space="preserve">Vai gadījumos, kad Latvijā darbojas kredītiestādes filiāle, kas klasificējas kā SI attiecībā uz konkrētiem </w:t>
      </w:r>
      <w:r w:rsidR="000259FB">
        <w:rPr>
          <w:b/>
          <w:color w:val="000000" w:themeColor="text1"/>
          <w:szCs w:val="24"/>
        </w:rPr>
        <w:t>finanšu instrumentiem</w:t>
      </w:r>
      <w:r w:rsidR="00C9634E" w:rsidRPr="009C46A3">
        <w:rPr>
          <w:b/>
          <w:color w:val="000000" w:themeColor="text1"/>
          <w:szCs w:val="24"/>
        </w:rPr>
        <w:t>, filiālei ir saistoš</w:t>
      </w:r>
      <w:r w:rsidR="00852831">
        <w:rPr>
          <w:b/>
          <w:color w:val="000000" w:themeColor="text1"/>
          <w:szCs w:val="24"/>
        </w:rPr>
        <w:t>as</w:t>
      </w:r>
      <w:r w:rsidR="00C9634E" w:rsidRPr="009C46A3">
        <w:rPr>
          <w:b/>
          <w:color w:val="000000" w:themeColor="text1"/>
          <w:szCs w:val="24"/>
        </w:rPr>
        <w:t xml:space="preserve"> </w:t>
      </w:r>
      <w:proofErr w:type="spellStart"/>
      <w:r w:rsidR="00C9634E" w:rsidRPr="009C46A3">
        <w:rPr>
          <w:b/>
          <w:color w:val="000000" w:themeColor="text1"/>
          <w:szCs w:val="24"/>
        </w:rPr>
        <w:t>MiFIR</w:t>
      </w:r>
      <w:proofErr w:type="spellEnd"/>
      <w:r w:rsidR="00C9634E" w:rsidRPr="009C46A3">
        <w:rPr>
          <w:b/>
          <w:color w:val="000000" w:themeColor="text1"/>
          <w:szCs w:val="24"/>
        </w:rPr>
        <w:t xml:space="preserve"> regulas prasības, kas paredzēt</w:t>
      </w:r>
      <w:r w:rsidR="00852831">
        <w:rPr>
          <w:b/>
          <w:color w:val="000000" w:themeColor="text1"/>
          <w:szCs w:val="24"/>
        </w:rPr>
        <w:t>as</w:t>
      </w:r>
      <w:r w:rsidR="00C9634E" w:rsidRPr="009C46A3">
        <w:rPr>
          <w:b/>
          <w:color w:val="000000" w:themeColor="text1"/>
          <w:szCs w:val="24"/>
        </w:rPr>
        <w:t xml:space="preserve"> SI, vai</w:t>
      </w:r>
      <w:r w:rsidR="00852831">
        <w:rPr>
          <w:b/>
          <w:color w:val="000000" w:themeColor="text1"/>
          <w:szCs w:val="24"/>
        </w:rPr>
        <w:t xml:space="preserve"> arī</w:t>
      </w:r>
      <w:r w:rsidR="00C9634E" w:rsidRPr="009C46A3">
        <w:rPr>
          <w:b/>
          <w:color w:val="000000" w:themeColor="text1"/>
          <w:szCs w:val="24"/>
        </w:rPr>
        <w:t xml:space="preserve"> filiāle var paļauties, ka to</w:t>
      </w:r>
      <w:r w:rsidR="00852831">
        <w:rPr>
          <w:b/>
          <w:color w:val="000000" w:themeColor="text1"/>
          <w:szCs w:val="24"/>
        </w:rPr>
        <w:t xml:space="preserve"> izpildi</w:t>
      </w:r>
      <w:r w:rsidR="00C9634E" w:rsidRPr="009C46A3">
        <w:rPr>
          <w:b/>
          <w:color w:val="000000" w:themeColor="text1"/>
          <w:szCs w:val="24"/>
        </w:rPr>
        <w:t xml:space="preserve"> nodrošinās centrālais birojs</w:t>
      </w:r>
      <w:r w:rsidRPr="009C46A3">
        <w:rPr>
          <w:b/>
          <w:color w:val="000000" w:themeColor="text1"/>
          <w:szCs w:val="24"/>
        </w:rPr>
        <w:t>?</w:t>
      </w:r>
    </w:p>
    <w:p w:rsidR="00F6130C" w:rsidRPr="009C5440" w:rsidRDefault="00F6130C" w:rsidP="00F6130C">
      <w:pPr>
        <w:autoSpaceDE w:val="0"/>
        <w:autoSpaceDN w:val="0"/>
        <w:adjustRightInd w:val="0"/>
        <w:rPr>
          <w:i/>
          <w:szCs w:val="24"/>
        </w:rPr>
      </w:pPr>
    </w:p>
    <w:p w:rsidR="009C46A3" w:rsidRDefault="00F6130C" w:rsidP="009C46A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C46A3">
        <w:rPr>
          <w:b/>
          <w:color w:val="000000" w:themeColor="text1"/>
          <w:szCs w:val="24"/>
          <w:u w:val="single"/>
        </w:rPr>
        <w:t>Atbilde:</w:t>
      </w:r>
      <w:r w:rsidRPr="009C46A3">
        <w:rPr>
          <w:color w:val="000000" w:themeColor="text1"/>
          <w:szCs w:val="24"/>
        </w:rPr>
        <w:t xml:space="preserve"> FKTK </w:t>
      </w:r>
      <w:r w:rsidR="009C46A3" w:rsidRPr="009C46A3">
        <w:rPr>
          <w:color w:val="000000" w:themeColor="text1"/>
          <w:szCs w:val="24"/>
        </w:rPr>
        <w:t xml:space="preserve">skaidro, ka saskaņā ar </w:t>
      </w:r>
      <w:proofErr w:type="spellStart"/>
      <w:r w:rsidR="009C46A3" w:rsidRPr="009C46A3">
        <w:rPr>
          <w:color w:val="000000" w:themeColor="text1"/>
          <w:szCs w:val="24"/>
        </w:rPr>
        <w:t>MiFID</w:t>
      </w:r>
      <w:proofErr w:type="spellEnd"/>
      <w:r w:rsidR="009C46A3" w:rsidRPr="009C46A3">
        <w:rPr>
          <w:color w:val="000000" w:themeColor="text1"/>
          <w:szCs w:val="24"/>
        </w:rPr>
        <w:t xml:space="preserve"> II 4. panta 1. punkta 1. apakšpunktā sniegto definīciju ieguldījumu pakalpojumu sniedzēji (</w:t>
      </w:r>
      <w:proofErr w:type="spellStart"/>
      <w:r w:rsidR="009C46A3" w:rsidRPr="009C46A3">
        <w:rPr>
          <w:i/>
          <w:color w:val="000000" w:themeColor="text1"/>
          <w:szCs w:val="24"/>
        </w:rPr>
        <w:t>investment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firm</w:t>
      </w:r>
      <w:proofErr w:type="spellEnd"/>
      <w:r w:rsidR="009C46A3" w:rsidRPr="009C46A3">
        <w:rPr>
          <w:color w:val="000000" w:themeColor="text1"/>
          <w:szCs w:val="24"/>
        </w:rPr>
        <w:t xml:space="preserve">) ir tikai tādas personas, kurām ir juridiskas personas statuss. Līdz ar to </w:t>
      </w:r>
      <w:proofErr w:type="spellStart"/>
      <w:r w:rsidR="009C46A3" w:rsidRPr="009C46A3">
        <w:rPr>
          <w:color w:val="000000" w:themeColor="text1"/>
          <w:szCs w:val="24"/>
        </w:rPr>
        <w:t>MiFID</w:t>
      </w:r>
      <w:proofErr w:type="spellEnd"/>
      <w:r w:rsidR="009C46A3" w:rsidRPr="009C46A3">
        <w:rPr>
          <w:color w:val="000000" w:themeColor="text1"/>
          <w:szCs w:val="24"/>
        </w:rPr>
        <w:t xml:space="preserve"> II 4. panta 1. punkta 20. apakšpunktā sniegtā sistemātiskā </w:t>
      </w:r>
      <w:proofErr w:type="spellStart"/>
      <w:r w:rsidR="009C46A3" w:rsidRPr="009C46A3">
        <w:rPr>
          <w:color w:val="000000" w:themeColor="text1"/>
          <w:szCs w:val="24"/>
        </w:rPr>
        <w:t>internalizētāja</w:t>
      </w:r>
      <w:proofErr w:type="spellEnd"/>
      <w:r w:rsidR="009C46A3" w:rsidRPr="009C46A3">
        <w:rPr>
          <w:color w:val="000000" w:themeColor="text1"/>
          <w:szCs w:val="24"/>
        </w:rPr>
        <w:t xml:space="preserve"> definīcija ir attiecināma tikai uz tādiem ieguldījumu pakalpojumu sniedzējiem, kuriem ir neatkarīgas juridiskas personas statuss. Arī Eiropas Vērtspapīru un tirgu iestādes sniegtajā skaidrojumā (</w:t>
      </w:r>
      <w:r w:rsidR="0078219A" w:rsidRPr="009924FF">
        <w:rPr>
          <w:i/>
        </w:rPr>
        <w:t xml:space="preserve">ESMA </w:t>
      </w:r>
      <w:r w:rsidR="009C46A3" w:rsidRPr="009C46A3">
        <w:rPr>
          <w:i/>
          <w:color w:val="000000" w:themeColor="text1"/>
          <w:szCs w:val="24"/>
        </w:rPr>
        <w:t xml:space="preserve">Q&amp;A </w:t>
      </w:r>
      <w:proofErr w:type="spellStart"/>
      <w:r w:rsidR="0078219A" w:rsidRPr="009C46A3">
        <w:rPr>
          <w:i/>
          <w:color w:val="000000" w:themeColor="text1"/>
          <w:szCs w:val="24"/>
        </w:rPr>
        <w:t>On</w:t>
      </w:r>
      <w:proofErr w:type="spellEnd"/>
      <w:r w:rsidR="0078219A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MiFIDII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and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MiFIR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transparency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proofErr w:type="spellStart"/>
      <w:r w:rsidR="009C46A3" w:rsidRPr="009C46A3">
        <w:rPr>
          <w:i/>
          <w:color w:val="000000" w:themeColor="text1"/>
          <w:szCs w:val="24"/>
        </w:rPr>
        <w:t>topics</w:t>
      </w:r>
      <w:proofErr w:type="spellEnd"/>
      <w:r w:rsidR="009C46A3" w:rsidRPr="009C46A3">
        <w:rPr>
          <w:i/>
          <w:color w:val="000000" w:themeColor="text1"/>
          <w:szCs w:val="24"/>
        </w:rPr>
        <w:t xml:space="preserve"> </w:t>
      </w:r>
      <w:r w:rsidR="009C46A3" w:rsidRPr="009C46A3">
        <w:rPr>
          <w:color w:val="000000" w:themeColor="text1"/>
          <w:szCs w:val="24"/>
        </w:rPr>
        <w:t xml:space="preserve">https://www.esma.europa.eu/sites/default/files/library/esma70-872942901-35_qas_transparency_issues.pdf) atbildē uz 2. jautājumu </w:t>
      </w:r>
      <w:r w:rsidR="00FA4454">
        <w:rPr>
          <w:color w:val="000000" w:themeColor="text1"/>
          <w:szCs w:val="24"/>
        </w:rPr>
        <w:t xml:space="preserve">sadaļā </w:t>
      </w:r>
      <w:r w:rsidR="00DE687A">
        <w:rPr>
          <w:color w:val="000000" w:themeColor="text1"/>
          <w:szCs w:val="24"/>
        </w:rPr>
        <w:t xml:space="preserve">Nr. </w:t>
      </w:r>
      <w:r w:rsidR="00FA4454" w:rsidRPr="00FA4454">
        <w:rPr>
          <w:color w:val="000000" w:themeColor="text1"/>
          <w:szCs w:val="24"/>
        </w:rPr>
        <w:t xml:space="preserve">7 </w:t>
      </w:r>
      <w:r w:rsidR="00DE687A">
        <w:rPr>
          <w:color w:val="000000" w:themeColor="text1"/>
          <w:szCs w:val="24"/>
        </w:rPr>
        <w:t>"</w:t>
      </w:r>
      <w:proofErr w:type="spellStart"/>
      <w:r w:rsidR="00FA4454" w:rsidRPr="00FA4454">
        <w:rPr>
          <w:i/>
          <w:color w:val="000000" w:themeColor="text1"/>
          <w:szCs w:val="24"/>
        </w:rPr>
        <w:t>The</w:t>
      </w:r>
      <w:proofErr w:type="spellEnd"/>
      <w:r w:rsidR="00FA4454" w:rsidRPr="00FA4454">
        <w:rPr>
          <w:i/>
          <w:color w:val="000000" w:themeColor="text1"/>
          <w:szCs w:val="24"/>
        </w:rPr>
        <w:t xml:space="preserve"> </w:t>
      </w:r>
      <w:proofErr w:type="spellStart"/>
      <w:r w:rsidR="00FA4454" w:rsidRPr="00FA4454">
        <w:rPr>
          <w:i/>
          <w:color w:val="000000" w:themeColor="text1"/>
          <w:szCs w:val="24"/>
        </w:rPr>
        <w:t>systematic</w:t>
      </w:r>
      <w:proofErr w:type="spellEnd"/>
      <w:r w:rsidR="00FA4454" w:rsidRPr="00FA4454">
        <w:rPr>
          <w:i/>
          <w:color w:val="000000" w:themeColor="text1"/>
          <w:szCs w:val="24"/>
        </w:rPr>
        <w:t xml:space="preserve"> </w:t>
      </w:r>
      <w:proofErr w:type="spellStart"/>
      <w:r w:rsidR="00FA4454" w:rsidRPr="00FA4454">
        <w:rPr>
          <w:i/>
          <w:color w:val="000000" w:themeColor="text1"/>
          <w:szCs w:val="24"/>
        </w:rPr>
        <w:t>internaliser</w:t>
      </w:r>
      <w:proofErr w:type="spellEnd"/>
      <w:r w:rsidR="00FA4454" w:rsidRPr="00FA4454">
        <w:rPr>
          <w:i/>
          <w:color w:val="000000" w:themeColor="text1"/>
          <w:szCs w:val="24"/>
        </w:rPr>
        <w:t xml:space="preserve"> </w:t>
      </w:r>
      <w:proofErr w:type="spellStart"/>
      <w:r w:rsidR="00FA4454" w:rsidRPr="00FA4454">
        <w:rPr>
          <w:i/>
          <w:color w:val="000000" w:themeColor="text1"/>
          <w:szCs w:val="24"/>
        </w:rPr>
        <w:t>regime</w:t>
      </w:r>
      <w:proofErr w:type="spellEnd"/>
      <w:r w:rsidR="00DE687A" w:rsidRPr="00DE687A">
        <w:rPr>
          <w:color w:val="000000" w:themeColor="text1"/>
          <w:szCs w:val="24"/>
        </w:rPr>
        <w:t>"</w:t>
      </w:r>
      <w:r w:rsidR="00FA4454" w:rsidRPr="00FA4454">
        <w:rPr>
          <w:color w:val="000000" w:themeColor="text1"/>
          <w:szCs w:val="24"/>
        </w:rPr>
        <w:t xml:space="preserve"> </w:t>
      </w:r>
      <w:r w:rsidR="009C46A3" w:rsidRPr="009C46A3">
        <w:rPr>
          <w:color w:val="000000" w:themeColor="text1"/>
          <w:szCs w:val="24"/>
        </w:rPr>
        <w:t xml:space="preserve">ir uzsvērts, ka attiecībā uz dalībvalstī reģistrēto ieguldījumu pakalpojumu sniedzēja filiāli sistemātiska </w:t>
      </w:r>
      <w:proofErr w:type="spellStart"/>
      <w:r w:rsidR="009C46A3" w:rsidRPr="009C46A3">
        <w:rPr>
          <w:color w:val="000000" w:themeColor="text1"/>
          <w:szCs w:val="24"/>
        </w:rPr>
        <w:t>internalizētāja</w:t>
      </w:r>
      <w:proofErr w:type="spellEnd"/>
      <w:r w:rsidR="009C46A3" w:rsidRPr="009C46A3">
        <w:rPr>
          <w:color w:val="000000" w:themeColor="text1"/>
          <w:szCs w:val="24"/>
        </w:rPr>
        <w:t xml:space="preserve"> kritēriju vērtēšana notiek konsolidētā līmenī un attiecināma uz juridisku personu. </w:t>
      </w:r>
    </w:p>
    <w:p w:rsidR="00B75126" w:rsidRPr="009C46A3" w:rsidRDefault="00B75126" w:rsidP="009C46A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F6130C" w:rsidRPr="004E402E" w:rsidRDefault="009C46A3" w:rsidP="009C46A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E402E">
        <w:rPr>
          <w:color w:val="000000" w:themeColor="text1"/>
          <w:szCs w:val="24"/>
        </w:rPr>
        <w:t>Ņemot vērā minēto, FKTK skatījumā vis</w:t>
      </w:r>
      <w:r w:rsidR="00852831">
        <w:rPr>
          <w:color w:val="000000" w:themeColor="text1"/>
          <w:szCs w:val="24"/>
        </w:rPr>
        <w:t>i</w:t>
      </w:r>
      <w:r w:rsidRPr="004E402E">
        <w:rPr>
          <w:color w:val="000000" w:themeColor="text1"/>
          <w:szCs w:val="24"/>
        </w:rPr>
        <w:t xml:space="preserve"> </w:t>
      </w:r>
      <w:proofErr w:type="spellStart"/>
      <w:r w:rsidRPr="004E402E">
        <w:rPr>
          <w:color w:val="000000" w:themeColor="text1"/>
          <w:szCs w:val="24"/>
        </w:rPr>
        <w:t>MiFIR</w:t>
      </w:r>
      <w:proofErr w:type="spellEnd"/>
      <w:r w:rsidRPr="004E402E">
        <w:rPr>
          <w:color w:val="000000" w:themeColor="text1"/>
          <w:szCs w:val="24"/>
        </w:rPr>
        <w:t xml:space="preserve"> regulā noteikt</w:t>
      </w:r>
      <w:r w:rsidR="00852831">
        <w:rPr>
          <w:color w:val="000000" w:themeColor="text1"/>
          <w:szCs w:val="24"/>
        </w:rPr>
        <w:t>ie</w:t>
      </w:r>
      <w:r w:rsidRPr="004E402E">
        <w:rPr>
          <w:color w:val="000000" w:themeColor="text1"/>
          <w:szCs w:val="24"/>
        </w:rPr>
        <w:t xml:space="preserve"> sistemātiskā </w:t>
      </w:r>
      <w:proofErr w:type="spellStart"/>
      <w:r w:rsidRPr="004E402E">
        <w:rPr>
          <w:color w:val="000000" w:themeColor="text1"/>
          <w:szCs w:val="24"/>
        </w:rPr>
        <w:t>internalizētāja</w:t>
      </w:r>
      <w:proofErr w:type="spellEnd"/>
      <w:r w:rsidRPr="004E402E">
        <w:rPr>
          <w:color w:val="000000" w:themeColor="text1"/>
          <w:szCs w:val="24"/>
        </w:rPr>
        <w:t xml:space="preserve"> pienākum</w:t>
      </w:r>
      <w:r w:rsidR="00852831">
        <w:rPr>
          <w:color w:val="000000" w:themeColor="text1"/>
          <w:szCs w:val="24"/>
        </w:rPr>
        <w:t>i</w:t>
      </w:r>
      <w:r w:rsidRPr="004E402E">
        <w:rPr>
          <w:color w:val="000000" w:themeColor="text1"/>
          <w:szCs w:val="24"/>
        </w:rPr>
        <w:t xml:space="preserve"> ir jāpilda kredītiestādes centrālajam birojam, bet filiālēm ir jānodrošina atbilstoša klientu informēšana.</w:t>
      </w:r>
    </w:p>
    <w:p w:rsidR="006D3BD7" w:rsidRDefault="006D3BD7" w:rsidP="009C46A3">
      <w:pPr>
        <w:pStyle w:val="Teksts1"/>
        <w:spacing w:after="0"/>
        <w:rPr>
          <w:b/>
          <w:color w:val="000000" w:themeColor="text1"/>
          <w:szCs w:val="24"/>
        </w:rPr>
      </w:pPr>
    </w:p>
    <w:p w:rsidR="009C46A3" w:rsidRPr="004E402E" w:rsidRDefault="009C46A3" w:rsidP="009C46A3">
      <w:pPr>
        <w:pStyle w:val="Teksts1"/>
        <w:spacing w:after="0"/>
        <w:rPr>
          <w:b/>
          <w:i/>
          <w:color w:val="000000" w:themeColor="text1"/>
          <w:szCs w:val="24"/>
        </w:rPr>
      </w:pPr>
      <w:r w:rsidRPr="004E402E">
        <w:rPr>
          <w:b/>
          <w:color w:val="000000" w:themeColor="text1"/>
          <w:szCs w:val="24"/>
        </w:rPr>
        <w:t xml:space="preserve">2. </w:t>
      </w:r>
      <w:r w:rsidR="00852831">
        <w:rPr>
          <w:b/>
          <w:color w:val="000000" w:themeColor="text1"/>
          <w:szCs w:val="24"/>
          <w:u w:val="single"/>
        </w:rPr>
        <w:t>j</w:t>
      </w:r>
      <w:r w:rsidRPr="004E402E">
        <w:rPr>
          <w:b/>
          <w:color w:val="000000" w:themeColor="text1"/>
          <w:szCs w:val="24"/>
          <w:u w:val="single"/>
        </w:rPr>
        <w:t>autājums:</w:t>
      </w:r>
      <w:r w:rsidRPr="004E402E">
        <w:rPr>
          <w:b/>
          <w:color w:val="000000" w:themeColor="text1"/>
          <w:szCs w:val="24"/>
        </w:rPr>
        <w:t xml:space="preserve"> </w:t>
      </w:r>
      <w:proofErr w:type="spellStart"/>
      <w:r w:rsidR="00375E80" w:rsidRPr="004E402E">
        <w:rPr>
          <w:b/>
          <w:color w:val="000000" w:themeColor="text1"/>
          <w:szCs w:val="24"/>
        </w:rPr>
        <w:t>MiFIR</w:t>
      </w:r>
      <w:proofErr w:type="spellEnd"/>
      <w:r w:rsidR="00375E80" w:rsidRPr="004E402E">
        <w:rPr>
          <w:b/>
          <w:color w:val="000000" w:themeColor="text1"/>
          <w:szCs w:val="24"/>
        </w:rPr>
        <w:t xml:space="preserve"> regulas 15. panta 2. daļa nos</w:t>
      </w:r>
      <w:r w:rsidR="00852831">
        <w:rPr>
          <w:b/>
          <w:color w:val="000000" w:themeColor="text1"/>
          <w:szCs w:val="24"/>
        </w:rPr>
        <w:t>a</w:t>
      </w:r>
      <w:r w:rsidR="00375E80" w:rsidRPr="004E402E">
        <w:rPr>
          <w:b/>
          <w:color w:val="000000" w:themeColor="text1"/>
          <w:szCs w:val="24"/>
        </w:rPr>
        <w:t>ka SI pienākumu slēgt darījumu ar klientu atbilstoši kotācijai, kāda ir bijusi klienta rīkojum</w:t>
      </w:r>
      <w:r w:rsidR="00652021">
        <w:rPr>
          <w:b/>
          <w:color w:val="000000" w:themeColor="text1"/>
          <w:szCs w:val="24"/>
        </w:rPr>
        <w:t>a</w:t>
      </w:r>
      <w:r w:rsidR="00375E80" w:rsidRPr="004E402E">
        <w:rPr>
          <w:b/>
          <w:color w:val="000000" w:themeColor="text1"/>
          <w:szCs w:val="24"/>
        </w:rPr>
        <w:t xml:space="preserve"> saņemšanas brīdī. Ja filiāl</w:t>
      </w:r>
      <w:r w:rsidR="00652021">
        <w:rPr>
          <w:b/>
          <w:color w:val="000000" w:themeColor="text1"/>
          <w:szCs w:val="24"/>
        </w:rPr>
        <w:t>ē</w:t>
      </w:r>
      <w:r w:rsidR="00375E80" w:rsidRPr="004E402E">
        <w:rPr>
          <w:b/>
          <w:color w:val="000000" w:themeColor="text1"/>
          <w:szCs w:val="24"/>
        </w:rPr>
        <w:t xml:space="preserve"> izmantot</w:t>
      </w:r>
      <w:r w:rsidR="00652021">
        <w:rPr>
          <w:b/>
          <w:color w:val="000000" w:themeColor="text1"/>
          <w:szCs w:val="24"/>
        </w:rPr>
        <w:t>ai</w:t>
      </w:r>
      <w:r w:rsidR="00375E80" w:rsidRPr="004E402E">
        <w:rPr>
          <w:b/>
          <w:color w:val="000000" w:themeColor="text1"/>
          <w:szCs w:val="24"/>
        </w:rPr>
        <w:t xml:space="preserve">s rīkojumu apstrādes risinājums </w:t>
      </w:r>
      <w:r w:rsidR="00EC57F8">
        <w:rPr>
          <w:b/>
          <w:color w:val="000000" w:themeColor="text1"/>
          <w:szCs w:val="24"/>
        </w:rPr>
        <w:t>ne</w:t>
      </w:r>
      <w:r w:rsidR="00375E80" w:rsidRPr="004E402E">
        <w:rPr>
          <w:b/>
          <w:color w:val="000000" w:themeColor="text1"/>
          <w:szCs w:val="24"/>
        </w:rPr>
        <w:t>nodrošin</w:t>
      </w:r>
      <w:r w:rsidR="00EC57F8">
        <w:rPr>
          <w:b/>
          <w:color w:val="000000" w:themeColor="text1"/>
          <w:szCs w:val="24"/>
        </w:rPr>
        <w:t>a</w:t>
      </w:r>
      <w:r w:rsidR="00375E80" w:rsidRPr="004E402E">
        <w:rPr>
          <w:b/>
          <w:color w:val="000000" w:themeColor="text1"/>
          <w:szCs w:val="24"/>
        </w:rPr>
        <w:t xml:space="preserve"> rīkojuma izpildi pēc t</w:t>
      </w:r>
      <w:r w:rsidR="00EC57F8">
        <w:rPr>
          <w:b/>
          <w:color w:val="000000" w:themeColor="text1"/>
          <w:szCs w:val="24"/>
        </w:rPr>
        <w:t>o</w:t>
      </w:r>
      <w:r w:rsidR="00652021">
        <w:rPr>
          <w:b/>
          <w:color w:val="000000" w:themeColor="text1"/>
          <w:szCs w:val="24"/>
        </w:rPr>
        <w:t>brīd</w:t>
      </w:r>
      <w:r w:rsidR="00652021" w:rsidRPr="004E402E">
        <w:rPr>
          <w:b/>
          <w:color w:val="000000" w:themeColor="text1"/>
          <w:szCs w:val="24"/>
        </w:rPr>
        <w:t xml:space="preserve"> </w:t>
      </w:r>
      <w:r w:rsidR="00375E80" w:rsidRPr="004E402E">
        <w:rPr>
          <w:b/>
          <w:color w:val="000000" w:themeColor="text1"/>
          <w:szCs w:val="24"/>
        </w:rPr>
        <w:t>centrālā biroja publicētās cenas, vai attiecībā uz filiālē pieņemt</w:t>
      </w:r>
      <w:r w:rsidR="00652021">
        <w:rPr>
          <w:b/>
          <w:color w:val="000000" w:themeColor="text1"/>
          <w:szCs w:val="24"/>
        </w:rPr>
        <w:t>aj</w:t>
      </w:r>
      <w:r w:rsidR="00375E80" w:rsidRPr="004E402E">
        <w:rPr>
          <w:b/>
          <w:color w:val="000000" w:themeColor="text1"/>
          <w:szCs w:val="24"/>
        </w:rPr>
        <w:t xml:space="preserve">iem rīkojumiem ir iespēja izmantot </w:t>
      </w:r>
      <w:proofErr w:type="spellStart"/>
      <w:r w:rsidR="00375E80" w:rsidRPr="004E402E">
        <w:rPr>
          <w:b/>
          <w:color w:val="000000" w:themeColor="text1"/>
          <w:szCs w:val="24"/>
        </w:rPr>
        <w:t>MiFIR</w:t>
      </w:r>
      <w:proofErr w:type="spellEnd"/>
      <w:r w:rsidR="00375E80" w:rsidRPr="004E402E">
        <w:rPr>
          <w:b/>
          <w:color w:val="000000" w:themeColor="text1"/>
          <w:szCs w:val="24"/>
        </w:rPr>
        <w:t xml:space="preserve"> </w:t>
      </w:r>
      <w:r w:rsidR="004E402E" w:rsidRPr="004E402E">
        <w:rPr>
          <w:b/>
          <w:color w:val="000000" w:themeColor="text1"/>
          <w:szCs w:val="24"/>
        </w:rPr>
        <w:t xml:space="preserve">regulas </w:t>
      </w:r>
      <w:r w:rsidR="00375E80" w:rsidRPr="004E402E">
        <w:rPr>
          <w:b/>
          <w:color w:val="000000" w:themeColor="text1"/>
          <w:szCs w:val="24"/>
        </w:rPr>
        <w:t>17.</w:t>
      </w:r>
      <w:r w:rsidR="00852831">
        <w:rPr>
          <w:b/>
          <w:color w:val="000000" w:themeColor="text1"/>
          <w:szCs w:val="24"/>
        </w:rPr>
        <w:t> </w:t>
      </w:r>
      <w:r w:rsidR="00375E80" w:rsidRPr="004E402E">
        <w:rPr>
          <w:b/>
          <w:color w:val="000000" w:themeColor="text1"/>
          <w:szCs w:val="24"/>
        </w:rPr>
        <w:t>panta 1.</w:t>
      </w:r>
      <w:r w:rsidR="00852831">
        <w:rPr>
          <w:b/>
          <w:color w:val="000000" w:themeColor="text1"/>
          <w:szCs w:val="24"/>
        </w:rPr>
        <w:t> </w:t>
      </w:r>
      <w:r w:rsidR="004E402E">
        <w:rPr>
          <w:b/>
          <w:color w:val="000000" w:themeColor="text1"/>
          <w:szCs w:val="24"/>
        </w:rPr>
        <w:t>punktā</w:t>
      </w:r>
      <w:r w:rsidR="00375E80" w:rsidRPr="004E402E">
        <w:rPr>
          <w:b/>
          <w:color w:val="000000" w:themeColor="text1"/>
          <w:szCs w:val="24"/>
        </w:rPr>
        <w:t xml:space="preserve"> paredzēto iespēju atteikt klientam piekļuvi SI piedāvāt</w:t>
      </w:r>
      <w:r w:rsidR="00852831">
        <w:rPr>
          <w:b/>
          <w:color w:val="000000" w:themeColor="text1"/>
          <w:szCs w:val="24"/>
        </w:rPr>
        <w:t>aja</w:t>
      </w:r>
      <w:r w:rsidR="00375E80" w:rsidRPr="004E402E">
        <w:rPr>
          <w:b/>
          <w:color w:val="000000" w:themeColor="text1"/>
          <w:szCs w:val="24"/>
        </w:rPr>
        <w:t>m cenu piedāvājumam?</w:t>
      </w:r>
    </w:p>
    <w:p w:rsidR="009C46A3" w:rsidRPr="009C5440" w:rsidRDefault="009C46A3" w:rsidP="009C46A3">
      <w:pPr>
        <w:autoSpaceDE w:val="0"/>
        <w:autoSpaceDN w:val="0"/>
        <w:adjustRightInd w:val="0"/>
        <w:rPr>
          <w:i/>
          <w:szCs w:val="24"/>
        </w:rPr>
      </w:pPr>
    </w:p>
    <w:p w:rsidR="004E402E" w:rsidRDefault="009C46A3" w:rsidP="004E402E">
      <w:r w:rsidRPr="009C46A3">
        <w:rPr>
          <w:b/>
          <w:color w:val="000000" w:themeColor="text1"/>
          <w:szCs w:val="24"/>
          <w:u w:val="single"/>
        </w:rPr>
        <w:t>Atbilde:</w:t>
      </w:r>
      <w:r w:rsidRPr="009C46A3">
        <w:rPr>
          <w:color w:val="000000" w:themeColor="text1"/>
          <w:szCs w:val="24"/>
        </w:rPr>
        <w:t xml:space="preserve"> </w:t>
      </w:r>
      <w:proofErr w:type="spellStart"/>
      <w:r w:rsidR="004E402E">
        <w:t>MiFIR</w:t>
      </w:r>
      <w:proofErr w:type="spellEnd"/>
      <w:r w:rsidR="004E402E" w:rsidRPr="00A965A7">
        <w:t xml:space="preserve"> </w:t>
      </w:r>
      <w:r w:rsidR="004E402E" w:rsidRPr="00375E80">
        <w:rPr>
          <w:color w:val="000000" w:themeColor="text1"/>
          <w:szCs w:val="24"/>
        </w:rPr>
        <w:t xml:space="preserve">regulas </w:t>
      </w:r>
      <w:r w:rsidR="004E402E" w:rsidRPr="00A965A7">
        <w:t>17. panta 1. punkt</w:t>
      </w:r>
      <w:r w:rsidR="004E402E">
        <w:t>s</w:t>
      </w:r>
      <w:r w:rsidR="004E402E" w:rsidRPr="00A965A7">
        <w:t xml:space="preserve"> sistem</w:t>
      </w:r>
      <w:r w:rsidR="004E402E">
        <w:t>ā</w:t>
      </w:r>
      <w:r w:rsidR="004E402E" w:rsidRPr="00A965A7">
        <w:t>tisk</w:t>
      </w:r>
      <w:r w:rsidR="004E402E">
        <w:t>ajam</w:t>
      </w:r>
      <w:r w:rsidR="004E402E" w:rsidRPr="00A965A7">
        <w:t xml:space="preserve"> </w:t>
      </w:r>
      <w:proofErr w:type="spellStart"/>
      <w:r w:rsidR="004E402E" w:rsidRPr="00A965A7">
        <w:t>internalizētāja</w:t>
      </w:r>
      <w:r w:rsidR="004E402E">
        <w:t>m</w:t>
      </w:r>
      <w:proofErr w:type="spellEnd"/>
      <w:r w:rsidR="004E402E" w:rsidRPr="00A965A7">
        <w:t xml:space="preserve"> paredz tiesības izvēlēties klientu, kuriem </w:t>
      </w:r>
      <w:r w:rsidR="004E402E">
        <w:t>tiek nodrošināta</w:t>
      </w:r>
      <w:r w:rsidR="004E402E" w:rsidRPr="00A965A7">
        <w:t xml:space="preserve"> piekļuve cenu piedāv</w:t>
      </w:r>
      <w:r w:rsidR="004E402E">
        <w:t>ājumiem,</w:t>
      </w:r>
      <w:r w:rsidR="004E402E" w:rsidRPr="00A965A7">
        <w:t xml:space="preserve"> loku</w:t>
      </w:r>
      <w:r w:rsidR="004E402E">
        <w:t xml:space="preserve"> ar nosacījumu, ka šī izvēle ir objektīva, nediskriminējoša un skaidri definēta sistemātiskā </w:t>
      </w:r>
      <w:proofErr w:type="spellStart"/>
      <w:r w:rsidR="004E402E">
        <w:t>internalizētāja</w:t>
      </w:r>
      <w:proofErr w:type="spellEnd"/>
      <w:r w:rsidR="004E402E">
        <w:t xml:space="preserve"> tirdzniecības politikā</w:t>
      </w:r>
      <w:r w:rsidR="004E402E" w:rsidRPr="00316D73">
        <w:t xml:space="preserve">. Kā iespējama </w:t>
      </w:r>
      <w:r w:rsidR="004E402E" w:rsidRPr="00E22931">
        <w:t>darījuma atteikuma</w:t>
      </w:r>
      <w:r w:rsidR="004E402E" w:rsidRPr="00316D73">
        <w:t xml:space="preserve"> </w:t>
      </w:r>
      <w:r w:rsidR="004E402E">
        <w:t xml:space="preserve">iemesls var būt komerciāli </w:t>
      </w:r>
      <w:r w:rsidR="004E402E">
        <w:lastRenderedPageBreak/>
        <w:t>apsvērumi, piemēram (bet ne tikai), klienta kredīta statuss, kontrahenta risks un galīgie norēķini par darījumu.</w:t>
      </w:r>
    </w:p>
    <w:p w:rsidR="009C46A3" w:rsidRDefault="009C46A3" w:rsidP="009C46A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4E402E" w:rsidRDefault="004E402E" w:rsidP="004E402E">
      <w:r>
        <w:t xml:space="preserve">Ņemot vērā minēto, </w:t>
      </w:r>
      <w:r w:rsidRPr="004E402E">
        <w:t xml:space="preserve">FKTK </w:t>
      </w:r>
      <w:r>
        <w:t xml:space="preserve">skatījumā </w:t>
      </w:r>
      <w:r>
        <w:rPr>
          <w:color w:val="000000" w:themeColor="text1"/>
          <w:szCs w:val="24"/>
        </w:rPr>
        <w:t>kredītiestāde</w:t>
      </w:r>
      <w:r w:rsidRPr="004E402E">
        <w:rPr>
          <w:color w:val="000000" w:themeColor="text1"/>
          <w:szCs w:val="24"/>
        </w:rPr>
        <w:t xml:space="preserve"> </w:t>
      </w:r>
      <w:r>
        <w:t xml:space="preserve">ir tiesīga piemērot </w:t>
      </w:r>
      <w:proofErr w:type="spellStart"/>
      <w:r>
        <w:t>MiFIR</w:t>
      </w:r>
      <w:proofErr w:type="spellEnd"/>
      <w:r>
        <w:t xml:space="preserve"> </w:t>
      </w:r>
      <w:r w:rsidRPr="00A965A7">
        <w:t>17.</w:t>
      </w:r>
      <w:r w:rsidR="00AD40B8">
        <w:t> </w:t>
      </w:r>
      <w:r w:rsidRPr="00A965A7">
        <w:t>panta 1.</w:t>
      </w:r>
      <w:r w:rsidR="00AD40B8">
        <w:t> </w:t>
      </w:r>
      <w:r w:rsidRPr="00A965A7">
        <w:t>punkt</w:t>
      </w:r>
      <w:r>
        <w:t xml:space="preserve">ā paredzētās tiesības, izpildot filiāles klientu rīkojumus, ja šāda rīkojumu izpildes kārtība ir paredzēta </w:t>
      </w:r>
      <w:r>
        <w:rPr>
          <w:color w:val="000000" w:themeColor="text1"/>
          <w:szCs w:val="24"/>
        </w:rPr>
        <w:t>kredītiestādes</w:t>
      </w:r>
      <w:r w:rsidRPr="004E402E">
        <w:rPr>
          <w:color w:val="000000" w:themeColor="text1"/>
          <w:szCs w:val="24"/>
        </w:rPr>
        <w:t xml:space="preserve"> </w:t>
      </w:r>
      <w:r>
        <w:t xml:space="preserve">rīkojumu izpildes politikā, kas attiecas uz filiāles klientu rīkojumiem, un filiāles klienti ir skaidri informēti par to, ka attiecībā uz finanšu instrumentiem, </w:t>
      </w:r>
      <w:r w:rsidRPr="00B40FBF">
        <w:t>par kuru sistemātisk</w:t>
      </w:r>
      <w:r>
        <w:t>o</w:t>
      </w:r>
      <w:r w:rsidRPr="00B40FBF">
        <w:t xml:space="preserve"> </w:t>
      </w:r>
      <w:proofErr w:type="spellStart"/>
      <w:r w:rsidRPr="00B40FBF">
        <w:t>internalizētāju</w:t>
      </w:r>
      <w:proofErr w:type="spellEnd"/>
      <w:r w:rsidRPr="00B40FBF">
        <w:t xml:space="preserve"> tiek uzskatīta</w:t>
      </w:r>
      <w:r>
        <w:t xml:space="preserve"> </w:t>
      </w:r>
      <w:r>
        <w:rPr>
          <w:color w:val="000000" w:themeColor="text1"/>
          <w:szCs w:val="24"/>
        </w:rPr>
        <w:t>kredītiestāde</w:t>
      </w:r>
      <w:r>
        <w:t xml:space="preserve">, filiāle faktiski darbojas kā brokeris, kas pieņem klientu rīkojumus un nodod tos izpildei </w:t>
      </w:r>
      <w:r>
        <w:rPr>
          <w:color w:val="000000" w:themeColor="text1"/>
          <w:szCs w:val="24"/>
        </w:rPr>
        <w:t>kredītiestādei</w:t>
      </w:r>
      <w:r>
        <w:t xml:space="preserve">, tādējādi </w:t>
      </w:r>
      <w:r w:rsidR="00BE15FE">
        <w:t xml:space="preserve">faktiski kredītiestādes vārdā </w:t>
      </w:r>
      <w:r>
        <w:t>sniedzot Finanšu instrumentu tirgus likuma (turpmāk – FITL) 3.</w:t>
      </w:r>
      <w:r w:rsidR="00AD40B8">
        <w:t> </w:t>
      </w:r>
      <w:r>
        <w:t>panta ceturtās daļas 1.</w:t>
      </w:r>
      <w:r w:rsidR="00AD40B8">
        <w:t> </w:t>
      </w:r>
      <w:r>
        <w:t xml:space="preserve">punktā minēto ieguldījumu pakalpojumu. Savukārt </w:t>
      </w:r>
      <w:r w:rsidR="00720BE6">
        <w:rPr>
          <w:color w:val="000000" w:themeColor="text1"/>
          <w:szCs w:val="24"/>
        </w:rPr>
        <w:t>kredītiestāde</w:t>
      </w:r>
      <w:r>
        <w:t xml:space="preserve">, slēdzot darījumu ar </w:t>
      </w:r>
      <w:r w:rsidR="00720BE6">
        <w:t xml:space="preserve">filiāles </w:t>
      </w:r>
      <w:r>
        <w:t>klientu, vienlaikus sniedz arī FITL 3. panta ceturtās daļas 6.</w:t>
      </w:r>
      <w:r w:rsidR="00EC57F8">
        <w:t> </w:t>
      </w:r>
      <w:r>
        <w:t xml:space="preserve">punktā minēto ieguldījumu pakalpojumu. </w:t>
      </w:r>
      <w:r w:rsidR="00720BE6" w:rsidRPr="004E402E">
        <w:t xml:space="preserve">FKTK </w:t>
      </w:r>
      <w:r>
        <w:t xml:space="preserve">skatījumā šajā gadījumā </w:t>
      </w:r>
      <w:r w:rsidR="00720BE6">
        <w:rPr>
          <w:color w:val="000000" w:themeColor="text1"/>
          <w:szCs w:val="24"/>
        </w:rPr>
        <w:t>kredītiestādei</w:t>
      </w:r>
      <w:r w:rsidR="00720BE6">
        <w:t xml:space="preserve"> </w:t>
      </w:r>
      <w:r>
        <w:t xml:space="preserve">būtu jāievēro </w:t>
      </w:r>
      <w:proofErr w:type="spellStart"/>
      <w:r>
        <w:t>MiFIR</w:t>
      </w:r>
      <w:proofErr w:type="spellEnd"/>
      <w:r>
        <w:t xml:space="preserve"> </w:t>
      </w:r>
      <w:r w:rsidR="00720BE6" w:rsidRPr="00375E80">
        <w:rPr>
          <w:color w:val="000000" w:themeColor="text1"/>
          <w:szCs w:val="24"/>
        </w:rPr>
        <w:t xml:space="preserve">regulas </w:t>
      </w:r>
      <w:r>
        <w:t xml:space="preserve">15. panta 2. punktā noteiktās prasības par rīkojumu izpildes cenu attiecībā uz faktisko laiku, kad </w:t>
      </w:r>
      <w:r w:rsidR="00A04CE7">
        <w:t xml:space="preserve">filiāles </w:t>
      </w:r>
      <w:r>
        <w:t xml:space="preserve">klienta rīkojums tika saņemts </w:t>
      </w:r>
      <w:r w:rsidR="00A04CE7">
        <w:rPr>
          <w:color w:val="000000" w:themeColor="text1"/>
          <w:szCs w:val="24"/>
        </w:rPr>
        <w:t>kredītiestādes</w:t>
      </w:r>
      <w:r w:rsidR="00A04CE7" w:rsidRPr="004E402E">
        <w:rPr>
          <w:color w:val="000000" w:themeColor="text1"/>
          <w:szCs w:val="24"/>
        </w:rPr>
        <w:t xml:space="preserve"> </w:t>
      </w:r>
      <w:r>
        <w:t>tirdzniecības sistēmā, tādējādi nodrošinot pēc iespējas labāku rīkojuma izpildes rezultātu.</w:t>
      </w:r>
    </w:p>
    <w:p w:rsidR="004E402E" w:rsidRDefault="004E402E" w:rsidP="004E402E"/>
    <w:p w:rsidR="004E402E" w:rsidRDefault="004E402E" w:rsidP="004E402E">
      <w:r>
        <w:t xml:space="preserve">Papildus norādām, ka </w:t>
      </w:r>
      <w:r w:rsidR="00720BE6" w:rsidRPr="004E402E">
        <w:t xml:space="preserve">FKTK </w:t>
      </w:r>
      <w:r>
        <w:t xml:space="preserve">ieskatā </w:t>
      </w:r>
      <w:r w:rsidR="00720BE6">
        <w:t xml:space="preserve">filiāles </w:t>
      </w:r>
      <w:r>
        <w:t xml:space="preserve">klientiem jābūt informētiem par iespēju slēgt līgumu par ieguldījumu pakalpojumu sniegšanu tieši ar </w:t>
      </w:r>
      <w:r w:rsidR="00720BE6">
        <w:rPr>
          <w:color w:val="000000" w:themeColor="text1"/>
          <w:szCs w:val="24"/>
        </w:rPr>
        <w:t>kredītiestādi</w:t>
      </w:r>
      <w:r>
        <w:t xml:space="preserve">, ja tie vēlas slēgt darījumus ar finanšu instrumentiem, </w:t>
      </w:r>
      <w:r w:rsidRPr="00B40FBF">
        <w:t>par kuru sistemātisk</w:t>
      </w:r>
      <w:r>
        <w:t>o</w:t>
      </w:r>
      <w:r w:rsidRPr="00B40FBF">
        <w:t xml:space="preserve"> </w:t>
      </w:r>
      <w:proofErr w:type="spellStart"/>
      <w:r w:rsidRPr="00B40FBF">
        <w:t>internalizētāju</w:t>
      </w:r>
      <w:proofErr w:type="spellEnd"/>
      <w:r w:rsidRPr="00B40FBF">
        <w:t xml:space="preserve"> tiek uzskatīta </w:t>
      </w:r>
      <w:r w:rsidR="00720BE6">
        <w:rPr>
          <w:color w:val="000000" w:themeColor="text1"/>
          <w:szCs w:val="24"/>
        </w:rPr>
        <w:t>kredītiestāde</w:t>
      </w:r>
      <w:r>
        <w:t xml:space="preserve">, un ja </w:t>
      </w:r>
      <w:proofErr w:type="spellStart"/>
      <w:r>
        <w:t>MiFIR</w:t>
      </w:r>
      <w:proofErr w:type="spellEnd"/>
      <w:r>
        <w:t xml:space="preserve"> 15. panta 2. punktā noteiktie </w:t>
      </w:r>
      <w:r w:rsidRPr="00B40FBF">
        <w:t>sistemātisk</w:t>
      </w:r>
      <w:r>
        <w:t>ā</w:t>
      </w:r>
      <w:r w:rsidRPr="00B40FBF">
        <w:t xml:space="preserve"> </w:t>
      </w:r>
      <w:proofErr w:type="spellStart"/>
      <w:r w:rsidRPr="00B40FBF">
        <w:t>internalizētāj</w:t>
      </w:r>
      <w:r>
        <w:t>a</w:t>
      </w:r>
      <w:proofErr w:type="spellEnd"/>
      <w:r>
        <w:t xml:space="preserve"> pienākumi</w:t>
      </w:r>
      <w:r w:rsidRPr="00B40FBF">
        <w:t xml:space="preserve"> </w:t>
      </w:r>
      <w:r>
        <w:t xml:space="preserve">klientiem ir izšķiroši svarīgi. </w:t>
      </w:r>
      <w:r w:rsidR="00EC57F8">
        <w:t xml:space="preserve">Kā arī </w:t>
      </w:r>
      <w:r>
        <w:t xml:space="preserve">norādām, ka </w:t>
      </w:r>
      <w:r w:rsidR="00720BE6">
        <w:t xml:space="preserve">filiāles </w:t>
      </w:r>
      <w:r>
        <w:t xml:space="preserve">kā krietna un rūpīga saimnieka pienākums ir izvēlēties klienta interesēm atbilstīgāko rīkojuma izpildes vietu un ne visos gadījumos tā var būt ar </w:t>
      </w:r>
      <w:r w:rsidR="00720BE6">
        <w:t xml:space="preserve">filiāli </w:t>
      </w:r>
      <w:r>
        <w:t xml:space="preserve">saistīta </w:t>
      </w:r>
      <w:r w:rsidR="00720BE6">
        <w:rPr>
          <w:color w:val="000000" w:themeColor="text1"/>
          <w:szCs w:val="24"/>
        </w:rPr>
        <w:t>kredītiestāde</w:t>
      </w:r>
      <w:r>
        <w:t>.</w:t>
      </w:r>
    </w:p>
    <w:p w:rsidR="004E402E" w:rsidRPr="009C46A3" w:rsidRDefault="004E402E" w:rsidP="009C46A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384873" w:rsidRDefault="00384873" w:rsidP="00384873">
      <w:pPr>
        <w:pStyle w:val="Heading1"/>
      </w:pPr>
      <w:r w:rsidRPr="00384873">
        <w:t>Klientu rīkojumu izpilde</w:t>
      </w:r>
      <w:r w:rsidRPr="00FE002B">
        <w:t xml:space="preserve"> </w:t>
      </w:r>
    </w:p>
    <w:p w:rsidR="00652C0B" w:rsidRPr="009C5440" w:rsidRDefault="00652C0B" w:rsidP="009C5440">
      <w:pPr>
        <w:pStyle w:val="Teksts1"/>
        <w:spacing w:after="120"/>
        <w:rPr>
          <w:color w:val="000000" w:themeColor="text1"/>
          <w:szCs w:val="24"/>
        </w:rPr>
      </w:pPr>
    </w:p>
    <w:p w:rsidR="00384873" w:rsidRPr="00A04CE7" w:rsidRDefault="006D3BD7" w:rsidP="00384873">
      <w:pPr>
        <w:pStyle w:val="Teksts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</w:t>
      </w:r>
      <w:r w:rsidR="00384873" w:rsidRPr="004E402E">
        <w:rPr>
          <w:b/>
          <w:color w:val="000000" w:themeColor="text1"/>
          <w:szCs w:val="24"/>
        </w:rPr>
        <w:t xml:space="preserve">. </w:t>
      </w:r>
      <w:r w:rsidR="00652C0B">
        <w:rPr>
          <w:b/>
          <w:color w:val="000000" w:themeColor="text1"/>
          <w:szCs w:val="24"/>
          <w:u w:val="single"/>
        </w:rPr>
        <w:t>j</w:t>
      </w:r>
      <w:r w:rsidR="00384873" w:rsidRPr="004E402E">
        <w:rPr>
          <w:b/>
          <w:color w:val="000000" w:themeColor="text1"/>
          <w:szCs w:val="24"/>
          <w:u w:val="single"/>
        </w:rPr>
        <w:t>autājums:</w:t>
      </w:r>
      <w:r w:rsidR="00384873" w:rsidRPr="004E402E">
        <w:rPr>
          <w:b/>
          <w:color w:val="000000" w:themeColor="text1"/>
          <w:szCs w:val="24"/>
        </w:rPr>
        <w:t xml:space="preserve"> </w:t>
      </w:r>
      <w:r w:rsidR="00266186">
        <w:rPr>
          <w:b/>
          <w:color w:val="000000" w:themeColor="text1"/>
          <w:szCs w:val="24"/>
        </w:rPr>
        <w:t>A</w:t>
      </w:r>
      <w:r w:rsidR="00384873" w:rsidRPr="00C953C5">
        <w:rPr>
          <w:b/>
          <w:color w:val="000000" w:themeColor="text1"/>
          <w:szCs w:val="24"/>
        </w:rPr>
        <w:t>kcija</w:t>
      </w:r>
      <w:r w:rsidR="00C953C5">
        <w:rPr>
          <w:b/>
          <w:color w:val="000000" w:themeColor="text1"/>
          <w:szCs w:val="24"/>
        </w:rPr>
        <w:t>s</w:t>
      </w:r>
      <w:r w:rsidR="00384873" w:rsidRPr="00C953C5">
        <w:rPr>
          <w:b/>
          <w:color w:val="000000" w:themeColor="text1"/>
          <w:szCs w:val="24"/>
        </w:rPr>
        <w:t xml:space="preserve"> </w:t>
      </w:r>
      <w:r w:rsidR="00652C0B">
        <w:rPr>
          <w:b/>
          <w:color w:val="000000" w:themeColor="text1"/>
          <w:szCs w:val="24"/>
        </w:rPr>
        <w:t>tiek</w:t>
      </w:r>
      <w:r w:rsidR="00652C0B" w:rsidRPr="00384873">
        <w:rPr>
          <w:b/>
          <w:color w:val="000000" w:themeColor="text1"/>
          <w:szCs w:val="24"/>
        </w:rPr>
        <w:t xml:space="preserve"> </w:t>
      </w:r>
      <w:r w:rsidR="00384873" w:rsidRPr="00384873">
        <w:rPr>
          <w:b/>
          <w:color w:val="000000" w:themeColor="text1"/>
          <w:szCs w:val="24"/>
        </w:rPr>
        <w:t>tirgota</w:t>
      </w:r>
      <w:r w:rsidR="00C953C5">
        <w:rPr>
          <w:b/>
          <w:color w:val="000000" w:themeColor="text1"/>
          <w:szCs w:val="24"/>
        </w:rPr>
        <w:t>s</w:t>
      </w:r>
      <w:r w:rsidR="00384873" w:rsidRPr="00384873">
        <w:rPr>
          <w:b/>
          <w:color w:val="000000" w:themeColor="text1"/>
          <w:szCs w:val="24"/>
        </w:rPr>
        <w:t xml:space="preserve"> gan </w:t>
      </w:r>
      <w:r w:rsidR="00C953C5">
        <w:rPr>
          <w:b/>
          <w:color w:val="000000" w:themeColor="text1"/>
          <w:szCs w:val="24"/>
        </w:rPr>
        <w:t>Eiropas Sa</w:t>
      </w:r>
      <w:r w:rsidR="00652C0B">
        <w:rPr>
          <w:b/>
          <w:color w:val="000000" w:themeColor="text1"/>
          <w:szCs w:val="24"/>
        </w:rPr>
        <w:t>v</w:t>
      </w:r>
      <w:r w:rsidR="00C953C5">
        <w:rPr>
          <w:b/>
          <w:color w:val="000000" w:themeColor="text1"/>
          <w:szCs w:val="24"/>
        </w:rPr>
        <w:t xml:space="preserve">ienības (ES) </w:t>
      </w:r>
      <w:r w:rsidR="00384873" w:rsidRPr="00384873">
        <w:rPr>
          <w:b/>
          <w:color w:val="000000" w:themeColor="text1"/>
          <w:szCs w:val="24"/>
        </w:rPr>
        <w:t xml:space="preserve">tirdzniecības vietā, gan </w:t>
      </w:r>
      <w:r w:rsidR="00C953C5">
        <w:rPr>
          <w:b/>
          <w:color w:val="000000" w:themeColor="text1"/>
          <w:szCs w:val="24"/>
        </w:rPr>
        <w:t xml:space="preserve">Amerikas Savienoto Valstu (ASV) </w:t>
      </w:r>
      <w:r w:rsidR="00384873" w:rsidRPr="00384873">
        <w:rPr>
          <w:b/>
          <w:color w:val="000000" w:themeColor="text1"/>
          <w:szCs w:val="24"/>
        </w:rPr>
        <w:t>tirdzniecības vietā, kas nav atzīta par ekvivalentu</w:t>
      </w:r>
      <w:r w:rsidR="00266186">
        <w:rPr>
          <w:b/>
          <w:color w:val="000000" w:themeColor="text1"/>
          <w:szCs w:val="24"/>
        </w:rPr>
        <w:t xml:space="preserve"> (nav iekļauta </w:t>
      </w:r>
      <w:r w:rsidR="00502FB0">
        <w:rPr>
          <w:b/>
          <w:color w:val="000000" w:themeColor="text1"/>
          <w:szCs w:val="24"/>
        </w:rPr>
        <w:t xml:space="preserve">Eiropas Vērtspapīru un tirgu iestādes </w:t>
      </w:r>
      <w:r w:rsidR="00266186">
        <w:rPr>
          <w:b/>
          <w:color w:val="000000" w:themeColor="text1"/>
          <w:szCs w:val="24"/>
        </w:rPr>
        <w:t>sarakstā)</w:t>
      </w:r>
      <w:r w:rsidR="00384873" w:rsidRPr="00384873">
        <w:rPr>
          <w:b/>
          <w:color w:val="000000" w:themeColor="text1"/>
          <w:szCs w:val="24"/>
        </w:rPr>
        <w:t xml:space="preserve">. Klients, </w:t>
      </w:r>
      <w:r w:rsidR="00652C0B">
        <w:rPr>
          <w:b/>
          <w:color w:val="000000" w:themeColor="text1"/>
          <w:szCs w:val="24"/>
        </w:rPr>
        <w:t>ie</w:t>
      </w:r>
      <w:r w:rsidR="00384873" w:rsidRPr="00384873">
        <w:rPr>
          <w:b/>
          <w:color w:val="000000" w:themeColor="text1"/>
          <w:szCs w:val="24"/>
        </w:rPr>
        <w:t>sniedzot rīkojumu par darījumu ar attiecīgo akciju, ir norādī</w:t>
      </w:r>
      <w:r w:rsidR="00652C0B">
        <w:rPr>
          <w:b/>
          <w:color w:val="000000" w:themeColor="text1"/>
          <w:szCs w:val="24"/>
        </w:rPr>
        <w:t>ji</w:t>
      </w:r>
      <w:r w:rsidR="00384873" w:rsidRPr="00384873">
        <w:rPr>
          <w:b/>
          <w:color w:val="000000" w:themeColor="text1"/>
          <w:szCs w:val="24"/>
        </w:rPr>
        <w:t>s, ka vēlas, lai rīkojums tiktu izpildīts ASV tirdzniecības vietā</w:t>
      </w:r>
      <w:r w:rsidR="00266186">
        <w:rPr>
          <w:b/>
          <w:color w:val="000000" w:themeColor="text1"/>
          <w:szCs w:val="24"/>
        </w:rPr>
        <w:t>. V</w:t>
      </w:r>
      <w:r w:rsidR="00384873" w:rsidRPr="00384873">
        <w:rPr>
          <w:b/>
          <w:color w:val="000000" w:themeColor="text1"/>
          <w:szCs w:val="24"/>
        </w:rPr>
        <w:t xml:space="preserve">ai </w:t>
      </w:r>
      <w:r w:rsidR="00C953C5">
        <w:rPr>
          <w:b/>
          <w:color w:val="000000" w:themeColor="text1"/>
          <w:szCs w:val="24"/>
        </w:rPr>
        <w:t>kredītiestādei</w:t>
      </w:r>
      <w:r w:rsidR="00384873" w:rsidRPr="00384873">
        <w:rPr>
          <w:b/>
          <w:color w:val="000000" w:themeColor="text1"/>
          <w:szCs w:val="24"/>
        </w:rPr>
        <w:t xml:space="preserve"> pastāv ierobežojumi izpildīt </w:t>
      </w:r>
      <w:r w:rsidR="00652C0B">
        <w:rPr>
          <w:b/>
          <w:color w:val="000000" w:themeColor="text1"/>
          <w:szCs w:val="24"/>
        </w:rPr>
        <w:t>š</w:t>
      </w:r>
      <w:r w:rsidR="00384873" w:rsidRPr="00384873">
        <w:rPr>
          <w:b/>
          <w:color w:val="000000" w:themeColor="text1"/>
          <w:szCs w:val="24"/>
        </w:rPr>
        <w:t xml:space="preserve">ādu klienta rīkojumu, ņemot vērā </w:t>
      </w:r>
      <w:proofErr w:type="spellStart"/>
      <w:r w:rsidR="00384873" w:rsidRPr="00384873">
        <w:rPr>
          <w:b/>
          <w:color w:val="000000" w:themeColor="text1"/>
          <w:szCs w:val="24"/>
        </w:rPr>
        <w:t>MiFIR</w:t>
      </w:r>
      <w:proofErr w:type="spellEnd"/>
      <w:r w:rsidR="00384873" w:rsidRPr="00384873">
        <w:rPr>
          <w:b/>
          <w:color w:val="000000" w:themeColor="text1"/>
          <w:szCs w:val="24"/>
        </w:rPr>
        <w:t xml:space="preserve"> 23</w:t>
      </w:r>
      <w:r w:rsidR="00C953C5" w:rsidRPr="00DA58BA">
        <w:rPr>
          <w:color w:val="000000" w:themeColor="text1"/>
          <w:szCs w:val="24"/>
        </w:rPr>
        <w:t>.</w:t>
      </w:r>
      <w:r w:rsidR="00652C0B">
        <w:rPr>
          <w:color w:val="000000" w:themeColor="text1"/>
          <w:szCs w:val="24"/>
        </w:rPr>
        <w:t> </w:t>
      </w:r>
      <w:r w:rsidR="00C953C5" w:rsidRPr="00C953C5">
        <w:rPr>
          <w:b/>
          <w:color w:val="000000" w:themeColor="text1"/>
          <w:szCs w:val="24"/>
        </w:rPr>
        <w:t>pantā</w:t>
      </w:r>
      <w:r w:rsidR="00384873" w:rsidRPr="00384873">
        <w:rPr>
          <w:b/>
          <w:color w:val="000000" w:themeColor="text1"/>
          <w:szCs w:val="24"/>
        </w:rPr>
        <w:t xml:space="preserve"> noteik</w:t>
      </w:r>
      <w:bookmarkStart w:id="0" w:name="_GoBack"/>
      <w:bookmarkEnd w:id="0"/>
      <w:r w:rsidR="00384873" w:rsidRPr="00384873">
        <w:rPr>
          <w:b/>
          <w:color w:val="000000" w:themeColor="text1"/>
          <w:szCs w:val="24"/>
        </w:rPr>
        <w:t>t</w:t>
      </w:r>
      <w:r w:rsidR="00C953C5">
        <w:rPr>
          <w:b/>
          <w:color w:val="000000" w:themeColor="text1"/>
          <w:szCs w:val="24"/>
        </w:rPr>
        <w:t>os</w:t>
      </w:r>
      <w:r w:rsidR="00384873" w:rsidRPr="00384873">
        <w:rPr>
          <w:b/>
          <w:color w:val="000000" w:themeColor="text1"/>
          <w:szCs w:val="24"/>
        </w:rPr>
        <w:t xml:space="preserve"> ierobežojum</w:t>
      </w:r>
      <w:r w:rsidR="00C953C5">
        <w:rPr>
          <w:b/>
          <w:color w:val="000000" w:themeColor="text1"/>
          <w:szCs w:val="24"/>
        </w:rPr>
        <w:t>us</w:t>
      </w:r>
      <w:r w:rsidR="00384873" w:rsidRPr="00384873">
        <w:rPr>
          <w:b/>
          <w:color w:val="000000" w:themeColor="text1"/>
          <w:szCs w:val="24"/>
        </w:rPr>
        <w:t>?</w:t>
      </w:r>
    </w:p>
    <w:p w:rsidR="00DA58BA" w:rsidRDefault="00384873" w:rsidP="002043D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DA58BA">
        <w:rPr>
          <w:b/>
          <w:color w:val="000000" w:themeColor="text1"/>
          <w:szCs w:val="24"/>
          <w:u w:val="single"/>
        </w:rPr>
        <w:t>Atbilde:</w:t>
      </w:r>
      <w:r w:rsidRPr="00DA58BA">
        <w:rPr>
          <w:color w:val="000000" w:themeColor="text1"/>
          <w:szCs w:val="24"/>
        </w:rPr>
        <w:t xml:space="preserve"> </w:t>
      </w:r>
      <w:proofErr w:type="spellStart"/>
      <w:r w:rsidR="00C953C5">
        <w:rPr>
          <w:color w:val="000000" w:themeColor="text1"/>
          <w:szCs w:val="24"/>
        </w:rPr>
        <w:t>MiFIR</w:t>
      </w:r>
      <w:proofErr w:type="spellEnd"/>
      <w:r w:rsidR="00C953C5">
        <w:rPr>
          <w:color w:val="000000" w:themeColor="text1"/>
          <w:szCs w:val="24"/>
        </w:rPr>
        <w:t xml:space="preserve"> 23</w:t>
      </w:r>
      <w:r w:rsidR="00C953C5" w:rsidRPr="00DA58BA">
        <w:rPr>
          <w:color w:val="000000" w:themeColor="text1"/>
          <w:szCs w:val="24"/>
        </w:rPr>
        <w:t>.</w:t>
      </w:r>
      <w:r w:rsidR="00652C0B">
        <w:rPr>
          <w:color w:val="000000" w:themeColor="text1"/>
          <w:szCs w:val="24"/>
        </w:rPr>
        <w:t> </w:t>
      </w:r>
      <w:r w:rsidR="00C953C5" w:rsidRPr="002043DF">
        <w:rPr>
          <w:color w:val="000000" w:themeColor="text1"/>
          <w:szCs w:val="24"/>
        </w:rPr>
        <w:t>pant</w:t>
      </w:r>
      <w:r w:rsidR="002043DF" w:rsidRPr="002043DF">
        <w:rPr>
          <w:color w:val="000000" w:themeColor="text1"/>
          <w:szCs w:val="24"/>
        </w:rPr>
        <w:t>s</w:t>
      </w:r>
      <w:r w:rsidR="00C953C5" w:rsidRPr="002043DF">
        <w:rPr>
          <w:color w:val="000000" w:themeColor="text1"/>
          <w:szCs w:val="24"/>
        </w:rPr>
        <w:t xml:space="preserve"> </w:t>
      </w:r>
      <w:r w:rsidR="002043DF" w:rsidRPr="002043DF">
        <w:rPr>
          <w:color w:val="000000" w:themeColor="text1"/>
          <w:szCs w:val="24"/>
        </w:rPr>
        <w:t>nosak</w:t>
      </w:r>
      <w:r w:rsidR="00652C0B">
        <w:rPr>
          <w:color w:val="000000" w:themeColor="text1"/>
          <w:szCs w:val="24"/>
        </w:rPr>
        <w:t>a</w:t>
      </w:r>
      <w:r w:rsidR="002043DF" w:rsidRPr="002043DF">
        <w:rPr>
          <w:color w:val="000000" w:themeColor="text1"/>
          <w:szCs w:val="24"/>
        </w:rPr>
        <w:t xml:space="preserve"> ieguldījumu brokeru sabiedrīb</w:t>
      </w:r>
      <w:r w:rsidR="00BE15FE">
        <w:rPr>
          <w:color w:val="000000" w:themeColor="text1"/>
          <w:szCs w:val="24"/>
        </w:rPr>
        <w:t>as</w:t>
      </w:r>
      <w:r w:rsidR="002043DF" w:rsidRPr="002043DF">
        <w:rPr>
          <w:color w:val="000000" w:themeColor="text1"/>
          <w:szCs w:val="24"/>
        </w:rPr>
        <w:t xml:space="preserve"> pienākumu veikt tirdzniecību</w:t>
      </w:r>
      <w:r w:rsidR="002043DF" w:rsidRPr="002043DF">
        <w:t xml:space="preserve"> </w:t>
      </w:r>
      <w:r w:rsidR="002043DF" w:rsidRPr="002043DF">
        <w:rPr>
          <w:color w:val="000000"/>
          <w:shd w:val="clear" w:color="auto" w:fill="FFFFFF"/>
        </w:rPr>
        <w:t>ar akcijām, kuras</w:t>
      </w:r>
      <w:r w:rsidR="002043DF" w:rsidRPr="002043DF">
        <w:rPr>
          <w:color w:val="000000" w:themeColor="text1"/>
          <w:szCs w:val="24"/>
        </w:rPr>
        <w:t xml:space="preserve"> atļauts tirgot regulētā tirgū vai kuras tirgo tirdzniecības vietā, attiecīgi veikt regulētā tirgū, DTS, OTS vai sistemātiskā </w:t>
      </w:r>
      <w:proofErr w:type="spellStart"/>
      <w:r w:rsidR="002043DF" w:rsidRPr="002043DF">
        <w:rPr>
          <w:color w:val="000000" w:themeColor="text1"/>
          <w:szCs w:val="24"/>
        </w:rPr>
        <w:t>internalizētājā</w:t>
      </w:r>
      <w:proofErr w:type="spellEnd"/>
      <w:r w:rsidR="002043DF" w:rsidRPr="002043DF">
        <w:rPr>
          <w:color w:val="000000" w:themeColor="text1"/>
          <w:szCs w:val="24"/>
        </w:rPr>
        <w:t>, vai trešās valsts tirdzniecības vietā, kas novērtēta kā līdzvērtīga</w:t>
      </w:r>
      <w:r w:rsidR="002043DF" w:rsidRPr="002043DF">
        <w:rPr>
          <w:color w:val="000000"/>
          <w:shd w:val="clear" w:color="auto" w:fill="FFFFFF"/>
        </w:rPr>
        <w:t xml:space="preserve">, ja vien šo darījumu iezīmes neietver to, ka tie ir nesistemātiski, pēc </w:t>
      </w:r>
      <w:proofErr w:type="spellStart"/>
      <w:r w:rsidR="002043DF" w:rsidRPr="002043DF">
        <w:rPr>
          <w:i/>
          <w:color w:val="000000"/>
          <w:shd w:val="clear" w:color="auto" w:fill="FFFFFF"/>
        </w:rPr>
        <w:t>ad</w:t>
      </w:r>
      <w:proofErr w:type="spellEnd"/>
      <w:r w:rsidR="002043DF" w:rsidRPr="002043DF">
        <w:rPr>
          <w:i/>
          <w:color w:val="000000"/>
          <w:shd w:val="clear" w:color="auto" w:fill="FFFFFF"/>
        </w:rPr>
        <w:t xml:space="preserve"> </w:t>
      </w:r>
      <w:proofErr w:type="spellStart"/>
      <w:r w:rsidR="002043DF" w:rsidRPr="002043DF">
        <w:rPr>
          <w:i/>
          <w:color w:val="000000"/>
          <w:shd w:val="clear" w:color="auto" w:fill="FFFFFF"/>
        </w:rPr>
        <w:t>hoc</w:t>
      </w:r>
      <w:proofErr w:type="spellEnd"/>
      <w:r w:rsidR="002043DF" w:rsidRPr="002043DF">
        <w:rPr>
          <w:color w:val="000000"/>
          <w:shd w:val="clear" w:color="auto" w:fill="FFFFFF"/>
        </w:rPr>
        <w:t xml:space="preserve"> principa, neregulāri un reti vai tos veic </w:t>
      </w:r>
      <w:r w:rsidR="00314D16">
        <w:rPr>
          <w:color w:val="000000"/>
          <w:shd w:val="clear" w:color="auto" w:fill="FFFFFF"/>
        </w:rPr>
        <w:t>atbilstīgi</w:t>
      </w:r>
      <w:r w:rsidR="00314D16" w:rsidRPr="002043DF">
        <w:rPr>
          <w:color w:val="000000"/>
          <w:shd w:val="clear" w:color="auto" w:fill="FFFFFF"/>
        </w:rPr>
        <w:t xml:space="preserve"> </w:t>
      </w:r>
      <w:r w:rsidR="002043DF" w:rsidRPr="002043DF">
        <w:rPr>
          <w:color w:val="000000"/>
          <w:shd w:val="clear" w:color="auto" w:fill="FFFFFF"/>
        </w:rPr>
        <w:t>un/vai profesionāli darījumu partneri un tie neietekmē cenu atklāšanas procesu.</w:t>
      </w:r>
      <w:r w:rsidR="00C953C5" w:rsidRPr="00C953C5">
        <w:rPr>
          <w:color w:val="000000" w:themeColor="text1"/>
          <w:szCs w:val="24"/>
        </w:rPr>
        <w:t xml:space="preserve"> Līdz ar to ir jāvērtē, vai iestāde izpilda darījumus ar šo akciju minēt</w:t>
      </w:r>
      <w:r w:rsidR="00314D16">
        <w:rPr>
          <w:color w:val="000000" w:themeColor="text1"/>
          <w:szCs w:val="24"/>
        </w:rPr>
        <w:t>a</w:t>
      </w:r>
      <w:r w:rsidR="00C953C5" w:rsidRPr="00C953C5">
        <w:rPr>
          <w:color w:val="000000" w:themeColor="text1"/>
          <w:szCs w:val="24"/>
        </w:rPr>
        <w:t>jā ASV tirdzniecības vietā regulāri</w:t>
      </w:r>
      <w:r w:rsidR="00502FB0">
        <w:rPr>
          <w:color w:val="000000" w:themeColor="text1"/>
          <w:szCs w:val="24"/>
        </w:rPr>
        <w:t xml:space="preserve"> </w:t>
      </w:r>
      <w:r w:rsidR="00C953C5" w:rsidRPr="00C953C5">
        <w:rPr>
          <w:color w:val="000000" w:themeColor="text1"/>
          <w:szCs w:val="24"/>
        </w:rPr>
        <w:t>va</w:t>
      </w:r>
      <w:r w:rsidR="00C953C5">
        <w:rPr>
          <w:color w:val="000000" w:themeColor="text1"/>
          <w:szCs w:val="24"/>
        </w:rPr>
        <w:t>i</w:t>
      </w:r>
      <w:r w:rsidR="00C953C5" w:rsidRPr="00C953C5">
        <w:rPr>
          <w:color w:val="000000" w:themeColor="text1"/>
          <w:szCs w:val="24"/>
        </w:rPr>
        <w:t xml:space="preserve"> šo gadījumu var uzskatīt </w:t>
      </w:r>
      <w:r w:rsidR="00C953C5">
        <w:rPr>
          <w:color w:val="000000" w:themeColor="text1"/>
          <w:szCs w:val="24"/>
        </w:rPr>
        <w:t xml:space="preserve">par izņēmumu. </w:t>
      </w:r>
      <w:r w:rsidR="000F55A9">
        <w:rPr>
          <w:color w:val="000000" w:themeColor="text1"/>
          <w:szCs w:val="24"/>
        </w:rPr>
        <w:t>Turklā</w:t>
      </w:r>
      <w:r w:rsidR="00C953C5">
        <w:rPr>
          <w:color w:val="000000" w:themeColor="text1"/>
          <w:szCs w:val="24"/>
        </w:rPr>
        <w:t xml:space="preserve">t, </w:t>
      </w:r>
      <w:r w:rsidR="00C953C5" w:rsidRPr="00C953C5">
        <w:rPr>
          <w:color w:val="000000" w:themeColor="text1"/>
          <w:szCs w:val="24"/>
        </w:rPr>
        <w:t>ja klient</w:t>
      </w:r>
      <w:r w:rsidR="00314D16">
        <w:rPr>
          <w:color w:val="000000" w:themeColor="text1"/>
          <w:szCs w:val="24"/>
        </w:rPr>
        <w:t>s</w:t>
      </w:r>
      <w:r w:rsidR="00C953C5" w:rsidRPr="00C953C5">
        <w:rPr>
          <w:color w:val="000000" w:themeColor="text1"/>
          <w:szCs w:val="24"/>
        </w:rPr>
        <w:t xml:space="preserve"> </w:t>
      </w:r>
      <w:r w:rsidR="00314D16">
        <w:rPr>
          <w:color w:val="000000" w:themeColor="text1"/>
          <w:szCs w:val="24"/>
        </w:rPr>
        <w:t xml:space="preserve">ir </w:t>
      </w:r>
      <w:r w:rsidR="00C953C5" w:rsidRPr="00C953C5">
        <w:rPr>
          <w:color w:val="000000" w:themeColor="text1"/>
          <w:szCs w:val="24"/>
        </w:rPr>
        <w:t>norād</w:t>
      </w:r>
      <w:r w:rsidR="00314D16">
        <w:rPr>
          <w:color w:val="000000" w:themeColor="text1"/>
          <w:szCs w:val="24"/>
        </w:rPr>
        <w:t>ījis</w:t>
      </w:r>
      <w:r w:rsidR="00C953C5" w:rsidRPr="00C953C5">
        <w:rPr>
          <w:color w:val="000000" w:themeColor="text1"/>
          <w:szCs w:val="24"/>
        </w:rPr>
        <w:t xml:space="preserve"> vietu, kur </w:t>
      </w:r>
      <w:r w:rsidR="00314D16">
        <w:rPr>
          <w:color w:val="000000" w:themeColor="text1"/>
          <w:szCs w:val="24"/>
        </w:rPr>
        <w:t>izpildīt</w:t>
      </w:r>
      <w:r w:rsidR="00C953C5" w:rsidRPr="00C953C5">
        <w:rPr>
          <w:color w:val="000000" w:themeColor="text1"/>
          <w:szCs w:val="24"/>
        </w:rPr>
        <w:t xml:space="preserve"> rīkojum</w:t>
      </w:r>
      <w:r w:rsidR="00314D16">
        <w:rPr>
          <w:color w:val="000000" w:themeColor="text1"/>
          <w:szCs w:val="24"/>
        </w:rPr>
        <w:t>u</w:t>
      </w:r>
      <w:r w:rsidR="00C953C5" w:rsidRPr="00C953C5">
        <w:rPr>
          <w:color w:val="000000" w:themeColor="text1"/>
          <w:szCs w:val="24"/>
        </w:rPr>
        <w:t xml:space="preserve">, tāds rīkojums tiek uzskatīts par rīkojumu ar īpašu instrukciju un </w:t>
      </w:r>
      <w:r w:rsidR="00C953C5">
        <w:rPr>
          <w:color w:val="000000" w:themeColor="text1"/>
          <w:szCs w:val="24"/>
        </w:rPr>
        <w:t>kredītiestādei</w:t>
      </w:r>
      <w:r w:rsidR="00C953C5" w:rsidRPr="00C953C5">
        <w:rPr>
          <w:color w:val="000000" w:themeColor="text1"/>
          <w:szCs w:val="24"/>
        </w:rPr>
        <w:t xml:space="preserve"> ir jāievēro klienta norādījumi.</w:t>
      </w:r>
    </w:p>
    <w:p w:rsidR="000D686C" w:rsidRDefault="000D686C" w:rsidP="002043DF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BE15FE" w:rsidRDefault="00BE15FE" w:rsidP="002043DF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Vēršam uzmanību, ka š</w:t>
      </w:r>
      <w:r w:rsidR="000D686C">
        <w:rPr>
          <w:color w:val="000000" w:themeColor="text1"/>
          <w:szCs w:val="24"/>
        </w:rPr>
        <w:t>ajā</w:t>
      </w:r>
      <w:r>
        <w:rPr>
          <w:color w:val="000000" w:themeColor="text1"/>
          <w:szCs w:val="24"/>
        </w:rPr>
        <w:t xml:space="preserve"> gadījumā iestādei ir pienākums atklāt informāciju par noslēgto darījumu, izmantojot </w:t>
      </w:r>
      <w:r w:rsidR="000D686C">
        <w:rPr>
          <w:color w:val="000000" w:themeColor="text1"/>
          <w:szCs w:val="24"/>
        </w:rPr>
        <w:t>apstiprinātu publicēšanas struktūru</w:t>
      </w:r>
      <w:r>
        <w:rPr>
          <w:color w:val="000000" w:themeColor="text1"/>
          <w:szCs w:val="24"/>
        </w:rPr>
        <w:t xml:space="preserve">, atbilstoši </w:t>
      </w:r>
      <w:proofErr w:type="spellStart"/>
      <w:r>
        <w:rPr>
          <w:color w:val="000000" w:themeColor="text1"/>
          <w:szCs w:val="24"/>
        </w:rPr>
        <w:t>MiFIR</w:t>
      </w:r>
      <w:proofErr w:type="spellEnd"/>
      <w:r>
        <w:rPr>
          <w:color w:val="000000" w:themeColor="text1"/>
          <w:szCs w:val="24"/>
        </w:rPr>
        <w:t xml:space="preserve"> 20. panta 1.</w:t>
      </w:r>
      <w:r w:rsidR="000D686C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>punkta prasībām.</w:t>
      </w:r>
    </w:p>
    <w:p w:rsidR="00556332" w:rsidRDefault="00556332" w:rsidP="002043DF">
      <w:pPr>
        <w:autoSpaceDE w:val="0"/>
        <w:autoSpaceDN w:val="0"/>
        <w:adjustRightInd w:val="0"/>
        <w:rPr>
          <w:szCs w:val="24"/>
        </w:rPr>
      </w:pPr>
    </w:p>
    <w:sectPr w:rsidR="00556332" w:rsidSect="00B7512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1418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B8" w:rsidRDefault="00CD75B8">
      <w:r>
        <w:separator/>
      </w:r>
    </w:p>
  </w:endnote>
  <w:endnote w:type="continuationSeparator" w:id="0">
    <w:p w:rsidR="00CD75B8" w:rsidRDefault="00C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1" w:rsidRPr="00271D92" w:rsidRDefault="00506F81" w:rsidP="009C5CEA">
    <w:pPr>
      <w:pStyle w:val="Footer"/>
      <w:jc w:val="right"/>
    </w:pPr>
    <w:r w:rsidRPr="009C5CEA">
      <w:fldChar w:fldCharType="begin"/>
    </w:r>
    <w:r w:rsidRPr="009C5CEA">
      <w:instrText xml:space="preserve"> PAGE  \* Arabic  \* MERGEFORMAT </w:instrText>
    </w:r>
    <w:r w:rsidRPr="009C5CEA">
      <w:fldChar w:fldCharType="separate"/>
    </w:r>
    <w:r w:rsidR="006D3BD7">
      <w:rPr>
        <w:noProof/>
      </w:rPr>
      <w:t>2</w:t>
    </w:r>
    <w:r w:rsidRPr="009C5CEA">
      <w:fldChar w:fldCharType="end"/>
    </w:r>
    <w:r w:rsidRPr="00271D92">
      <w:t>-</w:t>
    </w:r>
    <w:fldSimple w:instr=" NUMPAGES  \* Arabic  \* MERGEFORMAT ">
      <w:r w:rsidR="006D3B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1" w:rsidRPr="00271D92" w:rsidRDefault="00506F81" w:rsidP="009C5CEA">
    <w:pPr>
      <w:pStyle w:val="Footer"/>
      <w:jc w:val="right"/>
    </w:pPr>
    <w:r w:rsidRPr="003B2EB0">
      <w:fldChar w:fldCharType="begin"/>
    </w:r>
    <w:r w:rsidRPr="009C5CEA">
      <w:instrText xml:space="preserve"> PAGE  \* Arabic  \* MERGEFORMAT </w:instrText>
    </w:r>
    <w:r w:rsidRPr="003B2EB0">
      <w:fldChar w:fldCharType="separate"/>
    </w:r>
    <w:r w:rsidR="006D3BD7">
      <w:rPr>
        <w:noProof/>
      </w:rPr>
      <w:t>1</w:t>
    </w:r>
    <w:r w:rsidRPr="003B2EB0">
      <w:fldChar w:fldCharType="end"/>
    </w:r>
    <w:r w:rsidRPr="009C5CEA">
      <w:t>-</w:t>
    </w:r>
    <w:fldSimple w:instr=" NUMPAGES  \* Arabic  \* MERGEFORMAT ">
      <w:r w:rsidR="006D3BD7">
        <w:rPr>
          <w:noProof/>
        </w:rPr>
        <w:t>2</w:t>
      </w:r>
    </w:fldSimple>
  </w:p>
  <w:p w:rsidR="00506F81" w:rsidRDefault="00506F81">
    <w:pPr>
      <w:pStyle w:val="Footer"/>
      <w:jc w:val="center"/>
      <w:rPr>
        <w:rFonts w:ascii="Arial" w:hAnsi="Arial"/>
        <w:spacing w:val="-12"/>
        <w:sz w:val="4"/>
      </w:rPr>
    </w:pPr>
  </w:p>
  <w:p w:rsidR="00506F81" w:rsidRDefault="00506F81" w:rsidP="00BA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B8" w:rsidRDefault="00CD75B8">
      <w:r>
        <w:separator/>
      </w:r>
    </w:p>
  </w:footnote>
  <w:footnote w:type="continuationSeparator" w:id="0">
    <w:p w:rsidR="00CD75B8" w:rsidRDefault="00CD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1" w:rsidRDefault="00506F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6F81" w:rsidRDefault="00506F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1" w:rsidRDefault="00506F81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1" w:rsidRDefault="00506F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>
    <w:nsid w:val="00BB320A"/>
    <w:multiLevelType w:val="hybridMultilevel"/>
    <w:tmpl w:val="050A9F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CD0"/>
    <w:multiLevelType w:val="hybridMultilevel"/>
    <w:tmpl w:val="55A63690"/>
    <w:lvl w:ilvl="0" w:tplc="06BCBC4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4642ECC"/>
    <w:multiLevelType w:val="hybridMultilevel"/>
    <w:tmpl w:val="25E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4E99"/>
    <w:multiLevelType w:val="hybridMultilevel"/>
    <w:tmpl w:val="1D4AE62A"/>
    <w:lvl w:ilvl="0" w:tplc="F322DF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E65C32"/>
    <w:multiLevelType w:val="hybridMultilevel"/>
    <w:tmpl w:val="53A2EF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305C8E"/>
    <w:multiLevelType w:val="hybridMultilevel"/>
    <w:tmpl w:val="CD0CF9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3182"/>
    <w:multiLevelType w:val="hybridMultilevel"/>
    <w:tmpl w:val="46EEA31A"/>
    <w:lvl w:ilvl="0" w:tplc="9BD47F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F1240"/>
    <w:multiLevelType w:val="hybridMultilevel"/>
    <w:tmpl w:val="84D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2777F"/>
    <w:multiLevelType w:val="hybridMultilevel"/>
    <w:tmpl w:val="B4746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030792"/>
    <w:multiLevelType w:val="hybridMultilevel"/>
    <w:tmpl w:val="697898FE"/>
    <w:lvl w:ilvl="0" w:tplc="9BD4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15">
    <w:nsid w:val="38A30F33"/>
    <w:multiLevelType w:val="hybridMultilevel"/>
    <w:tmpl w:val="33EC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2A5A"/>
    <w:multiLevelType w:val="hybridMultilevel"/>
    <w:tmpl w:val="0BF6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B0632"/>
    <w:multiLevelType w:val="hybridMultilevel"/>
    <w:tmpl w:val="A2040B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784062"/>
    <w:multiLevelType w:val="hybridMultilevel"/>
    <w:tmpl w:val="5762E780"/>
    <w:lvl w:ilvl="0" w:tplc="C19E7FE8">
      <w:start w:val="1"/>
      <w:numFmt w:val="bullet"/>
      <w:lvlText w:val="-"/>
      <w:lvlJc w:val="left"/>
      <w:pPr>
        <w:ind w:left="784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6B77A2F"/>
    <w:multiLevelType w:val="hybridMultilevel"/>
    <w:tmpl w:val="65307204"/>
    <w:lvl w:ilvl="0" w:tplc="EA4A97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501B"/>
    <w:multiLevelType w:val="hybridMultilevel"/>
    <w:tmpl w:val="822E9E58"/>
    <w:lvl w:ilvl="0" w:tplc="9BD47F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E52C3"/>
    <w:multiLevelType w:val="hybridMultilevel"/>
    <w:tmpl w:val="676CF772"/>
    <w:lvl w:ilvl="0" w:tplc="136EA1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43BB"/>
    <w:multiLevelType w:val="hybridMultilevel"/>
    <w:tmpl w:val="820A26AC"/>
    <w:lvl w:ilvl="0" w:tplc="DEEC9F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1E298B"/>
    <w:multiLevelType w:val="hybridMultilevel"/>
    <w:tmpl w:val="FB44E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BF6BEC"/>
    <w:multiLevelType w:val="hybridMultilevel"/>
    <w:tmpl w:val="CBE81244"/>
    <w:lvl w:ilvl="0" w:tplc="040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5">
    <w:nsid w:val="742F78EC"/>
    <w:multiLevelType w:val="hybridMultilevel"/>
    <w:tmpl w:val="82DC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6B5023"/>
    <w:multiLevelType w:val="hybridMultilevel"/>
    <w:tmpl w:val="242044D2"/>
    <w:lvl w:ilvl="0" w:tplc="9BD47F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26"/>
  </w:num>
  <w:num w:numId="12">
    <w:abstractNumId w:val="20"/>
  </w:num>
  <w:num w:numId="13">
    <w:abstractNumId w:val="16"/>
  </w:num>
  <w:num w:numId="14">
    <w:abstractNumId w:val="23"/>
  </w:num>
  <w:num w:numId="15">
    <w:abstractNumId w:val="18"/>
  </w:num>
  <w:num w:numId="16">
    <w:abstractNumId w:val="10"/>
  </w:num>
  <w:num w:numId="17">
    <w:abstractNumId w:val="24"/>
  </w:num>
  <w:num w:numId="18">
    <w:abstractNumId w:val="5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3"/>
  </w:num>
  <w:num w:numId="24">
    <w:abstractNumId w:val="25"/>
  </w:num>
  <w:num w:numId="25">
    <w:abstractNumId w:val="15"/>
  </w:num>
  <w:num w:numId="26">
    <w:abstractNumId w:val="21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5"/>
    <w:rsid w:val="00001741"/>
    <w:rsid w:val="0000382C"/>
    <w:rsid w:val="0001121E"/>
    <w:rsid w:val="00016225"/>
    <w:rsid w:val="0001735D"/>
    <w:rsid w:val="00017B36"/>
    <w:rsid w:val="00022AD8"/>
    <w:rsid w:val="00023481"/>
    <w:rsid w:val="000259FB"/>
    <w:rsid w:val="00026916"/>
    <w:rsid w:val="00026F04"/>
    <w:rsid w:val="000311E8"/>
    <w:rsid w:val="00031FB9"/>
    <w:rsid w:val="000322FA"/>
    <w:rsid w:val="0003278D"/>
    <w:rsid w:val="0003553F"/>
    <w:rsid w:val="0004072A"/>
    <w:rsid w:val="00041477"/>
    <w:rsid w:val="00045A32"/>
    <w:rsid w:val="000472C5"/>
    <w:rsid w:val="000520FC"/>
    <w:rsid w:val="00052BD8"/>
    <w:rsid w:val="00056E07"/>
    <w:rsid w:val="0005739F"/>
    <w:rsid w:val="00063E07"/>
    <w:rsid w:val="00064003"/>
    <w:rsid w:val="000763A8"/>
    <w:rsid w:val="000778BB"/>
    <w:rsid w:val="00081C83"/>
    <w:rsid w:val="00085316"/>
    <w:rsid w:val="0008667A"/>
    <w:rsid w:val="0009017B"/>
    <w:rsid w:val="00092BC1"/>
    <w:rsid w:val="00095506"/>
    <w:rsid w:val="00095BBB"/>
    <w:rsid w:val="00096213"/>
    <w:rsid w:val="00097051"/>
    <w:rsid w:val="00097B92"/>
    <w:rsid w:val="000B17F9"/>
    <w:rsid w:val="000C03C8"/>
    <w:rsid w:val="000C5DE8"/>
    <w:rsid w:val="000D1C33"/>
    <w:rsid w:val="000D686C"/>
    <w:rsid w:val="000D6CFD"/>
    <w:rsid w:val="000E5032"/>
    <w:rsid w:val="000E5AD3"/>
    <w:rsid w:val="000F1CFE"/>
    <w:rsid w:val="000F3297"/>
    <w:rsid w:val="000F3CC1"/>
    <w:rsid w:val="000F55A9"/>
    <w:rsid w:val="00101BDA"/>
    <w:rsid w:val="001031B3"/>
    <w:rsid w:val="001068C2"/>
    <w:rsid w:val="001164F8"/>
    <w:rsid w:val="00120EA4"/>
    <w:rsid w:val="001254AC"/>
    <w:rsid w:val="0012637A"/>
    <w:rsid w:val="001263FB"/>
    <w:rsid w:val="00133CFF"/>
    <w:rsid w:val="00134132"/>
    <w:rsid w:val="0014357B"/>
    <w:rsid w:val="00143C71"/>
    <w:rsid w:val="00153E95"/>
    <w:rsid w:val="00172147"/>
    <w:rsid w:val="00172B7F"/>
    <w:rsid w:val="001918B4"/>
    <w:rsid w:val="00192941"/>
    <w:rsid w:val="00193068"/>
    <w:rsid w:val="00197D97"/>
    <w:rsid w:val="001A236D"/>
    <w:rsid w:val="001A4034"/>
    <w:rsid w:val="001A568A"/>
    <w:rsid w:val="001A5F20"/>
    <w:rsid w:val="001D10A7"/>
    <w:rsid w:val="001D1343"/>
    <w:rsid w:val="001D4CAC"/>
    <w:rsid w:val="001D4EC5"/>
    <w:rsid w:val="001D597C"/>
    <w:rsid w:val="001D769C"/>
    <w:rsid w:val="001E2C68"/>
    <w:rsid w:val="001E379D"/>
    <w:rsid w:val="001E5572"/>
    <w:rsid w:val="001F06E4"/>
    <w:rsid w:val="001F1F1F"/>
    <w:rsid w:val="001F6283"/>
    <w:rsid w:val="002043DF"/>
    <w:rsid w:val="00205359"/>
    <w:rsid w:val="002106A6"/>
    <w:rsid w:val="00216B7B"/>
    <w:rsid w:val="002222D3"/>
    <w:rsid w:val="00223E5B"/>
    <w:rsid w:val="00231E2B"/>
    <w:rsid w:val="00232D5D"/>
    <w:rsid w:val="002346D2"/>
    <w:rsid w:val="0023573E"/>
    <w:rsid w:val="0023665C"/>
    <w:rsid w:val="00240BA0"/>
    <w:rsid w:val="002465C4"/>
    <w:rsid w:val="002536BE"/>
    <w:rsid w:val="00253AFB"/>
    <w:rsid w:val="00255A7F"/>
    <w:rsid w:val="00257C8C"/>
    <w:rsid w:val="00261EEA"/>
    <w:rsid w:val="00262686"/>
    <w:rsid w:val="00266186"/>
    <w:rsid w:val="00266C7E"/>
    <w:rsid w:val="0027086A"/>
    <w:rsid w:val="00271274"/>
    <w:rsid w:val="00271D92"/>
    <w:rsid w:val="00272442"/>
    <w:rsid w:val="00274E57"/>
    <w:rsid w:val="00275F5C"/>
    <w:rsid w:val="00277BE0"/>
    <w:rsid w:val="00293868"/>
    <w:rsid w:val="0029464D"/>
    <w:rsid w:val="002A3454"/>
    <w:rsid w:val="002A432F"/>
    <w:rsid w:val="002A5379"/>
    <w:rsid w:val="002B29F2"/>
    <w:rsid w:val="002B7B49"/>
    <w:rsid w:val="002C1A1D"/>
    <w:rsid w:val="002C56D4"/>
    <w:rsid w:val="002E136E"/>
    <w:rsid w:val="002E2F3E"/>
    <w:rsid w:val="002E5534"/>
    <w:rsid w:val="002E74AB"/>
    <w:rsid w:val="00307767"/>
    <w:rsid w:val="003106F9"/>
    <w:rsid w:val="00314D16"/>
    <w:rsid w:val="003151A6"/>
    <w:rsid w:val="00321C79"/>
    <w:rsid w:val="003273E1"/>
    <w:rsid w:val="00333D5C"/>
    <w:rsid w:val="00335379"/>
    <w:rsid w:val="0033758F"/>
    <w:rsid w:val="00337892"/>
    <w:rsid w:val="0034081D"/>
    <w:rsid w:val="003474AF"/>
    <w:rsid w:val="0035399F"/>
    <w:rsid w:val="00355B2C"/>
    <w:rsid w:val="0036618F"/>
    <w:rsid w:val="00371C99"/>
    <w:rsid w:val="00371FD4"/>
    <w:rsid w:val="00375E80"/>
    <w:rsid w:val="003827B8"/>
    <w:rsid w:val="00384873"/>
    <w:rsid w:val="0038514C"/>
    <w:rsid w:val="00387ADE"/>
    <w:rsid w:val="003912E7"/>
    <w:rsid w:val="00392387"/>
    <w:rsid w:val="00396636"/>
    <w:rsid w:val="003A0AC2"/>
    <w:rsid w:val="003B2EB0"/>
    <w:rsid w:val="003B58AC"/>
    <w:rsid w:val="003B6B3B"/>
    <w:rsid w:val="003C01F7"/>
    <w:rsid w:val="003D0619"/>
    <w:rsid w:val="003D6503"/>
    <w:rsid w:val="003D7F26"/>
    <w:rsid w:val="003E1BBF"/>
    <w:rsid w:val="003F05FD"/>
    <w:rsid w:val="003F4030"/>
    <w:rsid w:val="00402CBB"/>
    <w:rsid w:val="00405269"/>
    <w:rsid w:val="00410371"/>
    <w:rsid w:val="0041336F"/>
    <w:rsid w:val="00432C25"/>
    <w:rsid w:val="00432CE0"/>
    <w:rsid w:val="00434080"/>
    <w:rsid w:val="004364AF"/>
    <w:rsid w:val="00436F64"/>
    <w:rsid w:val="00442B69"/>
    <w:rsid w:val="004430C5"/>
    <w:rsid w:val="00443C80"/>
    <w:rsid w:val="00443F6C"/>
    <w:rsid w:val="0044758A"/>
    <w:rsid w:val="0046011A"/>
    <w:rsid w:val="00463B2D"/>
    <w:rsid w:val="00463BD1"/>
    <w:rsid w:val="0046695A"/>
    <w:rsid w:val="00477C02"/>
    <w:rsid w:val="00480836"/>
    <w:rsid w:val="00482CF2"/>
    <w:rsid w:val="0048546E"/>
    <w:rsid w:val="004A1F5A"/>
    <w:rsid w:val="004B0143"/>
    <w:rsid w:val="004B46A0"/>
    <w:rsid w:val="004D2256"/>
    <w:rsid w:val="004D26C0"/>
    <w:rsid w:val="004D48BA"/>
    <w:rsid w:val="004D62B9"/>
    <w:rsid w:val="004D7EE3"/>
    <w:rsid w:val="004E0D88"/>
    <w:rsid w:val="004E402E"/>
    <w:rsid w:val="004E65A0"/>
    <w:rsid w:val="004F29F1"/>
    <w:rsid w:val="004F4B7C"/>
    <w:rsid w:val="004F4FD8"/>
    <w:rsid w:val="00502109"/>
    <w:rsid w:val="00502FB0"/>
    <w:rsid w:val="00504F7C"/>
    <w:rsid w:val="00506F81"/>
    <w:rsid w:val="005100BA"/>
    <w:rsid w:val="005206BE"/>
    <w:rsid w:val="00520FC2"/>
    <w:rsid w:val="0052345D"/>
    <w:rsid w:val="005278AC"/>
    <w:rsid w:val="00540974"/>
    <w:rsid w:val="00541C8F"/>
    <w:rsid w:val="0054458C"/>
    <w:rsid w:val="00544E0E"/>
    <w:rsid w:val="00550F64"/>
    <w:rsid w:val="005521A9"/>
    <w:rsid w:val="00554035"/>
    <w:rsid w:val="0055449E"/>
    <w:rsid w:val="00556332"/>
    <w:rsid w:val="005573BC"/>
    <w:rsid w:val="00566605"/>
    <w:rsid w:val="00566F6A"/>
    <w:rsid w:val="00574EA8"/>
    <w:rsid w:val="0057519F"/>
    <w:rsid w:val="00575391"/>
    <w:rsid w:val="0058702D"/>
    <w:rsid w:val="00594AEC"/>
    <w:rsid w:val="0059514A"/>
    <w:rsid w:val="005A0057"/>
    <w:rsid w:val="005A0106"/>
    <w:rsid w:val="005A6BF8"/>
    <w:rsid w:val="005A6C89"/>
    <w:rsid w:val="005B052E"/>
    <w:rsid w:val="005C29F3"/>
    <w:rsid w:val="005C39CB"/>
    <w:rsid w:val="005D2209"/>
    <w:rsid w:val="005D6D0E"/>
    <w:rsid w:val="005E2AE0"/>
    <w:rsid w:val="005E3977"/>
    <w:rsid w:val="005E6702"/>
    <w:rsid w:val="005F1386"/>
    <w:rsid w:val="005F6707"/>
    <w:rsid w:val="005F6D61"/>
    <w:rsid w:val="005F7552"/>
    <w:rsid w:val="006023F3"/>
    <w:rsid w:val="00607C56"/>
    <w:rsid w:val="00621B39"/>
    <w:rsid w:val="006270FC"/>
    <w:rsid w:val="00632580"/>
    <w:rsid w:val="00632D00"/>
    <w:rsid w:val="00632E25"/>
    <w:rsid w:val="006413AA"/>
    <w:rsid w:val="00643456"/>
    <w:rsid w:val="00645815"/>
    <w:rsid w:val="00645CBC"/>
    <w:rsid w:val="00651051"/>
    <w:rsid w:val="00651C47"/>
    <w:rsid w:val="00652021"/>
    <w:rsid w:val="00652AEB"/>
    <w:rsid w:val="00652C0B"/>
    <w:rsid w:val="00656AB8"/>
    <w:rsid w:val="00657CBC"/>
    <w:rsid w:val="00660B67"/>
    <w:rsid w:val="00663F2E"/>
    <w:rsid w:val="006742A4"/>
    <w:rsid w:val="006818B4"/>
    <w:rsid w:val="006831EC"/>
    <w:rsid w:val="00686B0E"/>
    <w:rsid w:val="0068735C"/>
    <w:rsid w:val="006924D5"/>
    <w:rsid w:val="006A02AA"/>
    <w:rsid w:val="006B392C"/>
    <w:rsid w:val="006B553F"/>
    <w:rsid w:val="006B6A0F"/>
    <w:rsid w:val="006C2AFB"/>
    <w:rsid w:val="006C367E"/>
    <w:rsid w:val="006D3BD7"/>
    <w:rsid w:val="006D5FFE"/>
    <w:rsid w:val="007047E4"/>
    <w:rsid w:val="00710E1A"/>
    <w:rsid w:val="00713455"/>
    <w:rsid w:val="007137B7"/>
    <w:rsid w:val="007179A1"/>
    <w:rsid w:val="00720BE6"/>
    <w:rsid w:val="00724C69"/>
    <w:rsid w:val="00737151"/>
    <w:rsid w:val="0074747A"/>
    <w:rsid w:val="0075241C"/>
    <w:rsid w:val="00755104"/>
    <w:rsid w:val="007630C5"/>
    <w:rsid w:val="00765795"/>
    <w:rsid w:val="00765B00"/>
    <w:rsid w:val="007663ED"/>
    <w:rsid w:val="00772621"/>
    <w:rsid w:val="0078018C"/>
    <w:rsid w:val="00781642"/>
    <w:rsid w:val="0078219A"/>
    <w:rsid w:val="0078501F"/>
    <w:rsid w:val="00786C9C"/>
    <w:rsid w:val="00791618"/>
    <w:rsid w:val="00792366"/>
    <w:rsid w:val="00795598"/>
    <w:rsid w:val="007A04BA"/>
    <w:rsid w:val="007A243D"/>
    <w:rsid w:val="007A57C1"/>
    <w:rsid w:val="007A69EF"/>
    <w:rsid w:val="007A6A06"/>
    <w:rsid w:val="007B297F"/>
    <w:rsid w:val="007C2C70"/>
    <w:rsid w:val="007C3B4B"/>
    <w:rsid w:val="007C4B17"/>
    <w:rsid w:val="007C5D84"/>
    <w:rsid w:val="007C65D9"/>
    <w:rsid w:val="007C6DC2"/>
    <w:rsid w:val="007D16BF"/>
    <w:rsid w:val="007D7B66"/>
    <w:rsid w:val="007E6FAB"/>
    <w:rsid w:val="007E775D"/>
    <w:rsid w:val="007F75A2"/>
    <w:rsid w:val="008014A4"/>
    <w:rsid w:val="0080182F"/>
    <w:rsid w:val="00802E62"/>
    <w:rsid w:val="008073AA"/>
    <w:rsid w:val="0080774E"/>
    <w:rsid w:val="008113DE"/>
    <w:rsid w:val="00811E72"/>
    <w:rsid w:val="0081357E"/>
    <w:rsid w:val="00813844"/>
    <w:rsid w:val="00816A8D"/>
    <w:rsid w:val="00821B9B"/>
    <w:rsid w:val="00824A20"/>
    <w:rsid w:val="00826025"/>
    <w:rsid w:val="00845BCE"/>
    <w:rsid w:val="008467CD"/>
    <w:rsid w:val="00846CA2"/>
    <w:rsid w:val="00852831"/>
    <w:rsid w:val="0085359C"/>
    <w:rsid w:val="008633E0"/>
    <w:rsid w:val="00863DB6"/>
    <w:rsid w:val="00866B79"/>
    <w:rsid w:val="00880233"/>
    <w:rsid w:val="00880444"/>
    <w:rsid w:val="00883F5D"/>
    <w:rsid w:val="00884617"/>
    <w:rsid w:val="00885391"/>
    <w:rsid w:val="00885E2E"/>
    <w:rsid w:val="00886A98"/>
    <w:rsid w:val="0089147F"/>
    <w:rsid w:val="008929AB"/>
    <w:rsid w:val="0089695C"/>
    <w:rsid w:val="0089769E"/>
    <w:rsid w:val="008A3DCC"/>
    <w:rsid w:val="008A4A4C"/>
    <w:rsid w:val="008A4F10"/>
    <w:rsid w:val="008A5690"/>
    <w:rsid w:val="008A6AFA"/>
    <w:rsid w:val="008B5AC6"/>
    <w:rsid w:val="008C1082"/>
    <w:rsid w:val="008D0F90"/>
    <w:rsid w:val="008F26E9"/>
    <w:rsid w:val="008F4664"/>
    <w:rsid w:val="008F4B8F"/>
    <w:rsid w:val="00901124"/>
    <w:rsid w:val="00905283"/>
    <w:rsid w:val="00910561"/>
    <w:rsid w:val="009119C0"/>
    <w:rsid w:val="0091279D"/>
    <w:rsid w:val="0091551A"/>
    <w:rsid w:val="00916951"/>
    <w:rsid w:val="00920D82"/>
    <w:rsid w:val="00923BC8"/>
    <w:rsid w:val="009245D4"/>
    <w:rsid w:val="00926823"/>
    <w:rsid w:val="0093132C"/>
    <w:rsid w:val="0093208B"/>
    <w:rsid w:val="00935AEB"/>
    <w:rsid w:val="00936A2A"/>
    <w:rsid w:val="00936C36"/>
    <w:rsid w:val="009525F6"/>
    <w:rsid w:val="00952C9D"/>
    <w:rsid w:val="00954081"/>
    <w:rsid w:val="0096140D"/>
    <w:rsid w:val="00962D12"/>
    <w:rsid w:val="00963994"/>
    <w:rsid w:val="00964A7E"/>
    <w:rsid w:val="009658AE"/>
    <w:rsid w:val="00970035"/>
    <w:rsid w:val="00981238"/>
    <w:rsid w:val="00985AD2"/>
    <w:rsid w:val="00985F91"/>
    <w:rsid w:val="00990348"/>
    <w:rsid w:val="009924FF"/>
    <w:rsid w:val="00992EAA"/>
    <w:rsid w:val="009931E2"/>
    <w:rsid w:val="009A1DD7"/>
    <w:rsid w:val="009A215B"/>
    <w:rsid w:val="009A3E07"/>
    <w:rsid w:val="009A5DD6"/>
    <w:rsid w:val="009B06B8"/>
    <w:rsid w:val="009C286B"/>
    <w:rsid w:val="009C46A3"/>
    <w:rsid w:val="009C5440"/>
    <w:rsid w:val="009C5CEA"/>
    <w:rsid w:val="009D0B64"/>
    <w:rsid w:val="009D36E8"/>
    <w:rsid w:val="009D37DC"/>
    <w:rsid w:val="009D52D0"/>
    <w:rsid w:val="009D7233"/>
    <w:rsid w:val="009E0B8C"/>
    <w:rsid w:val="009E2035"/>
    <w:rsid w:val="009E253A"/>
    <w:rsid w:val="009E29A7"/>
    <w:rsid w:val="009E4D75"/>
    <w:rsid w:val="009E5609"/>
    <w:rsid w:val="009E758B"/>
    <w:rsid w:val="009F47D5"/>
    <w:rsid w:val="009F63BB"/>
    <w:rsid w:val="00A04CE7"/>
    <w:rsid w:val="00A05A9C"/>
    <w:rsid w:val="00A070E8"/>
    <w:rsid w:val="00A125D8"/>
    <w:rsid w:val="00A12646"/>
    <w:rsid w:val="00A13685"/>
    <w:rsid w:val="00A15711"/>
    <w:rsid w:val="00A160D7"/>
    <w:rsid w:val="00A30EE9"/>
    <w:rsid w:val="00A32543"/>
    <w:rsid w:val="00A33C35"/>
    <w:rsid w:val="00A3445D"/>
    <w:rsid w:val="00A3789D"/>
    <w:rsid w:val="00A46222"/>
    <w:rsid w:val="00A462E0"/>
    <w:rsid w:val="00A525DC"/>
    <w:rsid w:val="00A5462D"/>
    <w:rsid w:val="00A60A79"/>
    <w:rsid w:val="00A648EA"/>
    <w:rsid w:val="00A66EB0"/>
    <w:rsid w:val="00A7191B"/>
    <w:rsid w:val="00A737E5"/>
    <w:rsid w:val="00A73B24"/>
    <w:rsid w:val="00A83174"/>
    <w:rsid w:val="00A85E46"/>
    <w:rsid w:val="00A912C5"/>
    <w:rsid w:val="00A91B89"/>
    <w:rsid w:val="00A927D5"/>
    <w:rsid w:val="00A97C1D"/>
    <w:rsid w:val="00AA1B28"/>
    <w:rsid w:val="00AA31C0"/>
    <w:rsid w:val="00AA42F9"/>
    <w:rsid w:val="00AA48E5"/>
    <w:rsid w:val="00AA7937"/>
    <w:rsid w:val="00AB34B5"/>
    <w:rsid w:val="00AC0643"/>
    <w:rsid w:val="00AD40B8"/>
    <w:rsid w:val="00AE70BA"/>
    <w:rsid w:val="00AE7807"/>
    <w:rsid w:val="00AF1A9B"/>
    <w:rsid w:val="00B05510"/>
    <w:rsid w:val="00B11666"/>
    <w:rsid w:val="00B140B1"/>
    <w:rsid w:val="00B3269F"/>
    <w:rsid w:val="00B36BE4"/>
    <w:rsid w:val="00B442A5"/>
    <w:rsid w:val="00B4624E"/>
    <w:rsid w:val="00B56F4B"/>
    <w:rsid w:val="00B709C7"/>
    <w:rsid w:val="00B75126"/>
    <w:rsid w:val="00B76BC9"/>
    <w:rsid w:val="00B864B5"/>
    <w:rsid w:val="00B90466"/>
    <w:rsid w:val="00B91BD8"/>
    <w:rsid w:val="00B93DD6"/>
    <w:rsid w:val="00B94007"/>
    <w:rsid w:val="00B95410"/>
    <w:rsid w:val="00B968EF"/>
    <w:rsid w:val="00BA174C"/>
    <w:rsid w:val="00BA2F4C"/>
    <w:rsid w:val="00BA4503"/>
    <w:rsid w:val="00BA7CD5"/>
    <w:rsid w:val="00BB01F8"/>
    <w:rsid w:val="00BB0A21"/>
    <w:rsid w:val="00BB76CB"/>
    <w:rsid w:val="00BC564E"/>
    <w:rsid w:val="00BC73E6"/>
    <w:rsid w:val="00BE15FE"/>
    <w:rsid w:val="00BE1E7A"/>
    <w:rsid w:val="00BF3CE7"/>
    <w:rsid w:val="00BF786C"/>
    <w:rsid w:val="00C211E0"/>
    <w:rsid w:val="00C224CB"/>
    <w:rsid w:val="00C25493"/>
    <w:rsid w:val="00C31245"/>
    <w:rsid w:val="00C32424"/>
    <w:rsid w:val="00C404AD"/>
    <w:rsid w:val="00C46A5B"/>
    <w:rsid w:val="00C4793F"/>
    <w:rsid w:val="00C55FA1"/>
    <w:rsid w:val="00C60CA8"/>
    <w:rsid w:val="00C63373"/>
    <w:rsid w:val="00C70E1D"/>
    <w:rsid w:val="00C7128B"/>
    <w:rsid w:val="00C71BC1"/>
    <w:rsid w:val="00C953C5"/>
    <w:rsid w:val="00C9634E"/>
    <w:rsid w:val="00C97149"/>
    <w:rsid w:val="00CB4B32"/>
    <w:rsid w:val="00CB7EFD"/>
    <w:rsid w:val="00CC11A5"/>
    <w:rsid w:val="00CC1849"/>
    <w:rsid w:val="00CC2AA4"/>
    <w:rsid w:val="00CD2133"/>
    <w:rsid w:val="00CD423C"/>
    <w:rsid w:val="00CD75B8"/>
    <w:rsid w:val="00CE3DD0"/>
    <w:rsid w:val="00CE49D5"/>
    <w:rsid w:val="00CE63B8"/>
    <w:rsid w:val="00CF334C"/>
    <w:rsid w:val="00CF335C"/>
    <w:rsid w:val="00D018AA"/>
    <w:rsid w:val="00D04FCD"/>
    <w:rsid w:val="00D129D0"/>
    <w:rsid w:val="00D14963"/>
    <w:rsid w:val="00D21C11"/>
    <w:rsid w:val="00D22972"/>
    <w:rsid w:val="00D22C5F"/>
    <w:rsid w:val="00D23FF7"/>
    <w:rsid w:val="00D24437"/>
    <w:rsid w:val="00D316D4"/>
    <w:rsid w:val="00D31E55"/>
    <w:rsid w:val="00D56C8F"/>
    <w:rsid w:val="00D62588"/>
    <w:rsid w:val="00D74E8A"/>
    <w:rsid w:val="00D7512B"/>
    <w:rsid w:val="00D84199"/>
    <w:rsid w:val="00D90894"/>
    <w:rsid w:val="00D91B9E"/>
    <w:rsid w:val="00D961E7"/>
    <w:rsid w:val="00DA30F9"/>
    <w:rsid w:val="00DA48F5"/>
    <w:rsid w:val="00DA4EBB"/>
    <w:rsid w:val="00DA58BA"/>
    <w:rsid w:val="00DB0970"/>
    <w:rsid w:val="00DC02B6"/>
    <w:rsid w:val="00DC67EC"/>
    <w:rsid w:val="00DD0BF9"/>
    <w:rsid w:val="00DE1DDD"/>
    <w:rsid w:val="00DE6530"/>
    <w:rsid w:val="00DE687A"/>
    <w:rsid w:val="00DF46CC"/>
    <w:rsid w:val="00DF5DFD"/>
    <w:rsid w:val="00DF64E0"/>
    <w:rsid w:val="00DF7E86"/>
    <w:rsid w:val="00E04772"/>
    <w:rsid w:val="00E12ED3"/>
    <w:rsid w:val="00E23502"/>
    <w:rsid w:val="00E302F7"/>
    <w:rsid w:val="00E3419E"/>
    <w:rsid w:val="00E359C2"/>
    <w:rsid w:val="00E47EEC"/>
    <w:rsid w:val="00E50CE8"/>
    <w:rsid w:val="00E52536"/>
    <w:rsid w:val="00E552B9"/>
    <w:rsid w:val="00E620F6"/>
    <w:rsid w:val="00E621D3"/>
    <w:rsid w:val="00E6385C"/>
    <w:rsid w:val="00E7350B"/>
    <w:rsid w:val="00E7421B"/>
    <w:rsid w:val="00E75DD8"/>
    <w:rsid w:val="00E81147"/>
    <w:rsid w:val="00E818E9"/>
    <w:rsid w:val="00E93A43"/>
    <w:rsid w:val="00E93E0D"/>
    <w:rsid w:val="00E97DD0"/>
    <w:rsid w:val="00EA27FC"/>
    <w:rsid w:val="00EB567F"/>
    <w:rsid w:val="00EB71FE"/>
    <w:rsid w:val="00EC0169"/>
    <w:rsid w:val="00EC57F8"/>
    <w:rsid w:val="00EC6D11"/>
    <w:rsid w:val="00ED65DB"/>
    <w:rsid w:val="00EF0DE3"/>
    <w:rsid w:val="00EF1BA4"/>
    <w:rsid w:val="00EF46E7"/>
    <w:rsid w:val="00F0036A"/>
    <w:rsid w:val="00F03F54"/>
    <w:rsid w:val="00F049B3"/>
    <w:rsid w:val="00F07796"/>
    <w:rsid w:val="00F124B6"/>
    <w:rsid w:val="00F309C5"/>
    <w:rsid w:val="00F3363B"/>
    <w:rsid w:val="00F3690F"/>
    <w:rsid w:val="00F37565"/>
    <w:rsid w:val="00F40FF0"/>
    <w:rsid w:val="00F41ED2"/>
    <w:rsid w:val="00F42527"/>
    <w:rsid w:val="00F43ACE"/>
    <w:rsid w:val="00F46972"/>
    <w:rsid w:val="00F4727B"/>
    <w:rsid w:val="00F52132"/>
    <w:rsid w:val="00F57A3F"/>
    <w:rsid w:val="00F6130C"/>
    <w:rsid w:val="00F63950"/>
    <w:rsid w:val="00F658D6"/>
    <w:rsid w:val="00F730E1"/>
    <w:rsid w:val="00F7501E"/>
    <w:rsid w:val="00F753FE"/>
    <w:rsid w:val="00F776B4"/>
    <w:rsid w:val="00F86C7B"/>
    <w:rsid w:val="00F87F2C"/>
    <w:rsid w:val="00F9186C"/>
    <w:rsid w:val="00F9305E"/>
    <w:rsid w:val="00F9320F"/>
    <w:rsid w:val="00FA123B"/>
    <w:rsid w:val="00FA21A5"/>
    <w:rsid w:val="00FA4454"/>
    <w:rsid w:val="00FA4C60"/>
    <w:rsid w:val="00FB0AFB"/>
    <w:rsid w:val="00FB1C2F"/>
    <w:rsid w:val="00FB281D"/>
    <w:rsid w:val="00FB65FA"/>
    <w:rsid w:val="00FD02A2"/>
    <w:rsid w:val="00FD0978"/>
    <w:rsid w:val="00FD1D8B"/>
    <w:rsid w:val="00FD4FDB"/>
    <w:rsid w:val="00FD5CCC"/>
    <w:rsid w:val="00FD66E7"/>
    <w:rsid w:val="00FD6928"/>
    <w:rsid w:val="00FE320B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501E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846CA2"/>
    <w:pPr>
      <w:keepNext/>
      <w:keepLines/>
      <w:outlineLvl w:val="0"/>
    </w:pPr>
    <w:rPr>
      <w:b/>
      <w:kern w:val="28"/>
      <w:sz w:val="32"/>
    </w:rPr>
  </w:style>
  <w:style w:type="paragraph" w:styleId="Heading2">
    <w:name w:val="heading 2"/>
    <w:basedOn w:val="Normal"/>
    <w:link w:val="Heading2Char"/>
    <w:autoRedefine/>
    <w:uiPriority w:val="99"/>
    <w:qFormat/>
    <w:rsid w:val="00F7501E"/>
    <w:pPr>
      <w:keepLines/>
      <w:numPr>
        <w:ilvl w:val="1"/>
        <w:numId w:val="1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F7501E"/>
    <w:pPr>
      <w:keepLines/>
      <w:numPr>
        <w:ilvl w:val="2"/>
        <w:numId w:val="1"/>
      </w:numPr>
      <w:spacing w:before="320"/>
      <w:outlineLvl w:val="2"/>
    </w:pPr>
  </w:style>
  <w:style w:type="paragraph" w:styleId="Heading4">
    <w:name w:val="heading 4"/>
    <w:basedOn w:val="Normal"/>
    <w:link w:val="Heading4Char"/>
    <w:autoRedefine/>
    <w:uiPriority w:val="99"/>
    <w:qFormat/>
    <w:rsid w:val="000B17F9"/>
    <w:pPr>
      <w:keepLines/>
      <w:spacing w:before="360"/>
      <w:jc w:val="left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autoRedefine/>
    <w:uiPriority w:val="99"/>
    <w:qFormat/>
    <w:rsid w:val="00F7501E"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F7501E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F7501E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F7501E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F7501E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6CA2"/>
    <w:rPr>
      <w:b/>
      <w:kern w:val="28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3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3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B17F9"/>
    <w:rPr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33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33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33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33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33F"/>
    <w:rPr>
      <w:rFonts w:asciiTheme="majorHAnsi" w:eastAsiaTheme="majorEastAsia" w:hAnsiTheme="majorHAnsi" w:cstheme="maj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1E"/>
    <w:rPr>
      <w:rFonts w:ascii="Tahoma" w:hAnsi="Tahoma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F7501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75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3F"/>
    <w:rPr>
      <w:sz w:val="24"/>
      <w:szCs w:val="20"/>
      <w:lang w:eastAsia="en-US"/>
    </w:rPr>
  </w:style>
  <w:style w:type="paragraph" w:customStyle="1" w:styleId="TekstsN1">
    <w:name w:val="TekstsN1"/>
    <w:basedOn w:val="Normal"/>
    <w:autoRedefine/>
    <w:rsid w:val="00F7501E"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F75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3F"/>
    <w:rPr>
      <w:sz w:val="24"/>
      <w:szCs w:val="20"/>
      <w:lang w:eastAsia="en-US"/>
    </w:rPr>
  </w:style>
  <w:style w:type="paragraph" w:customStyle="1" w:styleId="Teksts1">
    <w:name w:val="Teksts1"/>
    <w:basedOn w:val="Normal"/>
    <w:rsid w:val="00F7501E"/>
    <w:pPr>
      <w:spacing w:after="320"/>
    </w:pPr>
  </w:style>
  <w:style w:type="paragraph" w:customStyle="1" w:styleId="Teksts2">
    <w:name w:val="Teksts2"/>
    <w:basedOn w:val="Normal"/>
    <w:rsid w:val="00F7501E"/>
  </w:style>
  <w:style w:type="paragraph" w:customStyle="1" w:styleId="Teksts3">
    <w:name w:val="Teksts3"/>
    <w:basedOn w:val="Teksts1"/>
    <w:uiPriority w:val="99"/>
    <w:rsid w:val="00F7501E"/>
    <w:pPr>
      <w:spacing w:after="160"/>
    </w:pPr>
  </w:style>
  <w:style w:type="paragraph" w:customStyle="1" w:styleId="TekstsN2">
    <w:name w:val="TekstsN2"/>
    <w:basedOn w:val="Normal"/>
    <w:autoRedefine/>
    <w:rsid w:val="00F7501E"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rsid w:val="00F7501E"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F7501E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F7501E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rsid w:val="00F7501E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F7501E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rsid w:val="00F7501E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F7501E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F7501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F7501E"/>
    <w:pPr>
      <w:spacing w:before="640"/>
      <w:ind w:right="2268"/>
      <w:jc w:val="left"/>
    </w:pPr>
    <w:rPr>
      <w:sz w:val="28"/>
      <w:lang w:val="en-US"/>
    </w:rPr>
  </w:style>
  <w:style w:type="paragraph" w:customStyle="1" w:styleId="TekstsN">
    <w:name w:val="TekstsN"/>
    <w:basedOn w:val="Normal"/>
    <w:uiPriority w:val="99"/>
    <w:rsid w:val="00F7501E"/>
    <w:pPr>
      <w:spacing w:after="320"/>
    </w:pPr>
    <w:rPr>
      <w:rFonts w:ascii="Teutonica" w:hAnsi="Teutonica"/>
    </w:rPr>
  </w:style>
  <w:style w:type="paragraph" w:styleId="BodyText">
    <w:name w:val="Body Text"/>
    <w:basedOn w:val="Normal"/>
    <w:link w:val="BodyTextChar"/>
    <w:uiPriority w:val="99"/>
    <w:semiHidden/>
    <w:rsid w:val="00F7501E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33F"/>
    <w:rPr>
      <w:sz w:val="24"/>
      <w:szCs w:val="20"/>
      <w:lang w:eastAsia="en-US"/>
    </w:rPr>
  </w:style>
  <w:style w:type="paragraph" w:customStyle="1" w:styleId="Amats">
    <w:name w:val="Amats"/>
    <w:basedOn w:val="Normal"/>
    <w:rsid w:val="00F7501E"/>
    <w:pPr>
      <w:tabs>
        <w:tab w:val="right" w:pos="9072"/>
      </w:tabs>
      <w:jc w:val="lef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9525F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25F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525F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2D0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2D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2D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2D00"/>
    <w:rPr>
      <w:b/>
      <w:lang w:eastAsia="en-US"/>
    </w:rPr>
  </w:style>
  <w:style w:type="character" w:styleId="Strong">
    <w:name w:val="Strong"/>
    <w:basedOn w:val="DefaultParagraphFont"/>
    <w:uiPriority w:val="99"/>
    <w:qFormat/>
    <w:rsid w:val="00E50CE8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9011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12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0112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D6503"/>
    <w:pPr>
      <w:ind w:left="720"/>
      <w:contextualSpacing/>
    </w:pPr>
  </w:style>
  <w:style w:type="table" w:styleId="TableGrid">
    <w:name w:val="Table Grid"/>
    <w:basedOn w:val="TableNormal"/>
    <w:locked/>
    <w:rsid w:val="00EF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65A0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501E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846CA2"/>
    <w:pPr>
      <w:keepNext/>
      <w:keepLines/>
      <w:outlineLvl w:val="0"/>
    </w:pPr>
    <w:rPr>
      <w:b/>
      <w:kern w:val="28"/>
      <w:sz w:val="32"/>
    </w:rPr>
  </w:style>
  <w:style w:type="paragraph" w:styleId="Heading2">
    <w:name w:val="heading 2"/>
    <w:basedOn w:val="Normal"/>
    <w:link w:val="Heading2Char"/>
    <w:autoRedefine/>
    <w:uiPriority w:val="99"/>
    <w:qFormat/>
    <w:rsid w:val="00F7501E"/>
    <w:pPr>
      <w:keepLines/>
      <w:numPr>
        <w:ilvl w:val="1"/>
        <w:numId w:val="1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F7501E"/>
    <w:pPr>
      <w:keepLines/>
      <w:numPr>
        <w:ilvl w:val="2"/>
        <w:numId w:val="1"/>
      </w:numPr>
      <w:spacing w:before="320"/>
      <w:outlineLvl w:val="2"/>
    </w:pPr>
  </w:style>
  <w:style w:type="paragraph" w:styleId="Heading4">
    <w:name w:val="heading 4"/>
    <w:basedOn w:val="Normal"/>
    <w:link w:val="Heading4Char"/>
    <w:autoRedefine/>
    <w:uiPriority w:val="99"/>
    <w:qFormat/>
    <w:rsid w:val="000B17F9"/>
    <w:pPr>
      <w:keepLines/>
      <w:spacing w:before="360"/>
      <w:jc w:val="left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autoRedefine/>
    <w:uiPriority w:val="99"/>
    <w:qFormat/>
    <w:rsid w:val="00F7501E"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F7501E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F7501E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F7501E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F7501E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6CA2"/>
    <w:rPr>
      <w:b/>
      <w:kern w:val="28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3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3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B17F9"/>
    <w:rPr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33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33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33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33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33F"/>
    <w:rPr>
      <w:rFonts w:asciiTheme="majorHAnsi" w:eastAsiaTheme="majorEastAsia" w:hAnsiTheme="majorHAnsi" w:cstheme="maj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1E"/>
    <w:rPr>
      <w:rFonts w:ascii="Tahoma" w:hAnsi="Tahoma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F7501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75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3F"/>
    <w:rPr>
      <w:sz w:val="24"/>
      <w:szCs w:val="20"/>
      <w:lang w:eastAsia="en-US"/>
    </w:rPr>
  </w:style>
  <w:style w:type="paragraph" w:customStyle="1" w:styleId="TekstsN1">
    <w:name w:val="TekstsN1"/>
    <w:basedOn w:val="Normal"/>
    <w:autoRedefine/>
    <w:rsid w:val="00F7501E"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F75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3F"/>
    <w:rPr>
      <w:sz w:val="24"/>
      <w:szCs w:val="20"/>
      <w:lang w:eastAsia="en-US"/>
    </w:rPr>
  </w:style>
  <w:style w:type="paragraph" w:customStyle="1" w:styleId="Teksts1">
    <w:name w:val="Teksts1"/>
    <w:basedOn w:val="Normal"/>
    <w:rsid w:val="00F7501E"/>
    <w:pPr>
      <w:spacing w:after="320"/>
    </w:pPr>
  </w:style>
  <w:style w:type="paragraph" w:customStyle="1" w:styleId="Teksts2">
    <w:name w:val="Teksts2"/>
    <w:basedOn w:val="Normal"/>
    <w:rsid w:val="00F7501E"/>
  </w:style>
  <w:style w:type="paragraph" w:customStyle="1" w:styleId="Teksts3">
    <w:name w:val="Teksts3"/>
    <w:basedOn w:val="Teksts1"/>
    <w:uiPriority w:val="99"/>
    <w:rsid w:val="00F7501E"/>
    <w:pPr>
      <w:spacing w:after="160"/>
    </w:pPr>
  </w:style>
  <w:style w:type="paragraph" w:customStyle="1" w:styleId="TekstsN2">
    <w:name w:val="TekstsN2"/>
    <w:basedOn w:val="Normal"/>
    <w:autoRedefine/>
    <w:rsid w:val="00F7501E"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rsid w:val="00F7501E"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F7501E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F7501E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rsid w:val="00F7501E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F7501E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rsid w:val="00F7501E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F7501E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F7501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F7501E"/>
    <w:pPr>
      <w:spacing w:before="640"/>
      <w:ind w:right="2268"/>
      <w:jc w:val="left"/>
    </w:pPr>
    <w:rPr>
      <w:sz w:val="28"/>
      <w:lang w:val="en-US"/>
    </w:rPr>
  </w:style>
  <w:style w:type="paragraph" w:customStyle="1" w:styleId="TekstsN">
    <w:name w:val="TekstsN"/>
    <w:basedOn w:val="Normal"/>
    <w:uiPriority w:val="99"/>
    <w:rsid w:val="00F7501E"/>
    <w:pPr>
      <w:spacing w:after="320"/>
    </w:pPr>
    <w:rPr>
      <w:rFonts w:ascii="Teutonica" w:hAnsi="Teutonica"/>
    </w:rPr>
  </w:style>
  <w:style w:type="paragraph" w:styleId="BodyText">
    <w:name w:val="Body Text"/>
    <w:basedOn w:val="Normal"/>
    <w:link w:val="BodyTextChar"/>
    <w:uiPriority w:val="99"/>
    <w:semiHidden/>
    <w:rsid w:val="00F7501E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33F"/>
    <w:rPr>
      <w:sz w:val="24"/>
      <w:szCs w:val="20"/>
      <w:lang w:eastAsia="en-US"/>
    </w:rPr>
  </w:style>
  <w:style w:type="paragraph" w:customStyle="1" w:styleId="Amats">
    <w:name w:val="Amats"/>
    <w:basedOn w:val="Normal"/>
    <w:rsid w:val="00F7501E"/>
    <w:pPr>
      <w:tabs>
        <w:tab w:val="right" w:pos="9072"/>
      </w:tabs>
      <w:jc w:val="lef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9525F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25F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525F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2D0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2D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2D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2D00"/>
    <w:rPr>
      <w:b/>
      <w:lang w:eastAsia="en-US"/>
    </w:rPr>
  </w:style>
  <w:style w:type="character" w:styleId="Strong">
    <w:name w:val="Strong"/>
    <w:basedOn w:val="DefaultParagraphFont"/>
    <w:uiPriority w:val="99"/>
    <w:qFormat/>
    <w:rsid w:val="00E50CE8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9011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12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0112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D6503"/>
    <w:pPr>
      <w:ind w:left="720"/>
      <w:contextualSpacing/>
    </w:pPr>
  </w:style>
  <w:style w:type="table" w:styleId="TableGrid">
    <w:name w:val="Table Grid"/>
    <w:basedOn w:val="TableNormal"/>
    <w:locked/>
    <w:rsid w:val="00EF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65A0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3009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8" w:color="DDDDDD"/>
                                <w:bottom w:val="single" w:sz="6" w:space="17" w:color="DDDDDD"/>
                                <w:right w:val="single" w:sz="6" w:space="4" w:color="DDDDDD"/>
                              </w:divBdr>
                              <w:divsChild>
                                <w:div w:id="19219130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3950">
                              <w:marLeft w:val="0"/>
                              <w:marRight w:val="30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63046">
                              <w:marLeft w:val="0"/>
                              <w:marRight w:val="4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6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1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A11C-7977-4ACD-8FB2-B88432E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 sarakste</vt:lpstr>
    </vt:vector>
  </TitlesOfParts>
  <Manager>Finanšu un kapitāla tirgus komisija</Manager>
  <Company>Finanšu un kapitāla tirgus komisija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 sarakste</dc:title>
  <dc:subject>Arejas sarakstes vestules sagatave, latviski</dc:subject>
  <dc:creator>Vadim Kolomiets</dc:creator>
  <cp:lastModifiedBy>Nadezda Karpova</cp:lastModifiedBy>
  <cp:revision>3</cp:revision>
  <cp:lastPrinted>2017-10-30T12:04:00Z</cp:lastPrinted>
  <dcterms:created xsi:type="dcterms:W3CDTF">2018-01-05T15:35:00Z</dcterms:created>
  <dcterms:modified xsi:type="dcterms:W3CDTF">2018-01-08T08:56:00Z</dcterms:modified>
</cp:coreProperties>
</file>